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版本号：【KRDL】K2-260301420260408002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学生公寓窗帘采购项目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【KRDL】K2-2603014</w:t>
      </w:r>
      <w:r>
        <w:br/>
      </w:r>
      <w:r>
        <w:br/>
      </w:r>
      <w:r>
        <w:br/>
      </w:r>
    </w:p>
    <w:p>
      <w:pPr>
        <w:pStyle w:val="null3"/>
        <w:jc w:val="center"/>
        <w:outlineLvl w:val="2"/>
      </w:pPr>
      <w:r>
        <w:rPr>
          <w:rFonts w:ascii="仿宋_GB2312" w:hAnsi="仿宋_GB2312" w:cs="仿宋_GB2312" w:eastAsia="仿宋_GB2312"/>
          <w:sz w:val="28"/>
          <w:b/>
        </w:rPr>
        <w:t>西北大学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西北大学</w:t>
      </w:r>
      <w:r>
        <w:rPr>
          <w:rFonts w:ascii="仿宋_GB2312" w:hAnsi="仿宋_GB2312" w:cs="仿宋_GB2312" w:eastAsia="仿宋_GB2312"/>
        </w:rPr>
        <w:t>委托，拟对</w:t>
      </w:r>
      <w:r>
        <w:rPr>
          <w:rFonts w:ascii="仿宋_GB2312" w:hAnsi="仿宋_GB2312" w:cs="仿宋_GB2312" w:eastAsia="仿宋_GB2312"/>
        </w:rPr>
        <w:t>学生公寓窗帘采购项目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【KRDL】K2-2603014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学生公寓窗帘采购项目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采购长安校区新建学生公寓20-22号楼窗帘，该三栋楼学生宿舍1333间，所需窗帘1333套，每套含窗帘布片、配套轨道、滑轮、固定支架及绑带等完整组件，涵盖全量货物的生产、运输、上门安装调试及售后质保等一站式服务，适配公寓宿舍窗户规格，统一标准交付，具体以招标文件及答疑文件等文件所涵盖的全部内容为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采购包1（西北大学学生公寓窗帘采购项目）：属于专门面向中小企业采购。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1、营业执照：投标人为向招标人提供货物的法人或其他组织；</w:t>
      </w:r>
    </w:p>
    <w:p>
      <w:pPr>
        <w:pStyle w:val="null3"/>
      </w:pPr>
      <w:r>
        <w:rPr>
          <w:rFonts w:ascii="仿宋_GB2312" w:hAnsi="仿宋_GB2312" w:cs="仿宋_GB2312" w:eastAsia="仿宋_GB2312"/>
        </w:rPr>
        <w:t>2、信用主体查询：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3、财务状况证明：提供2024年度或2025年度经第三方会计事务所审计过的财务报告，或开标截止时间前90天内基本账户银行出具的资信证明。注：①提供财务报告的，内容至少包括审计报告、附注。②提供资信证明的，必须提供资信证明全部页以及基本户信息（提供开户许可证或提供基本银行账户信息）。银行出具的存款证明不能代替资信证明，存款证明无效，并进行电子签章；</w:t>
      </w:r>
    </w:p>
    <w:p>
      <w:pPr>
        <w:pStyle w:val="null3"/>
      </w:pPr>
      <w:r>
        <w:rPr>
          <w:rFonts w:ascii="仿宋_GB2312" w:hAnsi="仿宋_GB2312" w:cs="仿宋_GB2312" w:eastAsia="仿宋_GB2312"/>
        </w:rPr>
        <w:t>4、纳税证明：投标人截止日前6个月内至少一个月依法纳税的相关凭证(税种至少提供任意一种)。注：依法免税的应提供说明，无须缴纳税收的应提供说明以及6个月内的纳税凭证，零报税的提供申报成功的凭证；成立不足一个月的提供将依法纳税的承诺书（格式自拟）；时间以税款所属时段为准，并进行电子签章；</w:t>
      </w:r>
    </w:p>
    <w:p>
      <w:pPr>
        <w:pStyle w:val="null3"/>
      </w:pPr>
      <w:r>
        <w:rPr>
          <w:rFonts w:ascii="仿宋_GB2312" w:hAnsi="仿宋_GB2312" w:cs="仿宋_GB2312" w:eastAsia="仿宋_GB2312"/>
        </w:rPr>
        <w:t>5、社会保障资金缴纳证明：提供开标截止日前6个月内至少一个月的社会保障资金缴存凭证或社保机构开具的社会保险参保缴费情况凭证；依法不需要缴纳社会保障资金的提供说明；成立不足一个月的提供将依法交纳社会保障资金的承诺书（格式自拟）。注：①通过代缴方式缴存的，需提供链条完整的证明材料，证明材料至少包括代缴方的缴存凭证、供应商向代缴方用于缴存社保的银行转账单据。②供应商可自行打印带有社保机构公章的缴存凭证；提供银行交纳单据的，单据应显示社保缴存项（任一项），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西北大学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西安市长安区郭杜教育科技产业区学府大道1号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029-88302565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赵婉婷、刘昆、姚瑶、王昭、代光艳、王森、靳祥德、成荔、彭明杨、王莉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029-89581311、15667290283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采购包1：279,930.00元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采购包1保证金金额：5,002.00元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说明：中标/成交供应商在与采购人签订合同前，须缴纳履约保证金；履约保证金金额为成交金额的5%。待验收合格后凭验收单和缴款收据，履约保证金予以无息退还。 户名:西北大学 开户行：交通银行西安学府大街支行 账号：611301015018001145006 联行号：301791000194 退还方式：待验收合格后凭收据和验收单复印件无息退还。 如遇下列情况之一者，合同履约保证金不予退还，作为对采购人的赔偿： （1）合同签订后不能按合同时限要求供货或安装调试； （2）所供货物不合格、与合同不符； （3）不能按合同履约； （4）货物验收不合格。</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供应商后3日内，由中标人参照国家计委颁发的《招标代理服务收费管理暂行办法》（计价格[2002]1980号）和发改委颁发的《关于招标代理服务收费有关问题的通知》（发改办价格[2003] 857号）的有关规定下浮20%，向招标代理机构一次付清招标代理服务费。备注：在对招标代理服务费或者投标保证金转账时需备注项目名称+招标代理服务费或投标保证金。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踏勘时间：2026-04-02 10:00:00</w:t>
            </w:r>
          </w:p>
          <w:p>
            <w:pPr>
              <w:pStyle w:val="null3"/>
              <w:ind w:firstLine="975"/>
            </w:pPr>
            <w:r>
              <w:rPr>
                <w:rFonts w:ascii="仿宋_GB2312" w:hAnsi="仿宋_GB2312" w:cs="仿宋_GB2312" w:eastAsia="仿宋_GB2312"/>
              </w:rPr>
              <w:t>踏勘地点：西北大学长安校区（请各单位准时到场）</w:t>
            </w:r>
          </w:p>
          <w:p>
            <w:pPr>
              <w:pStyle w:val="null3"/>
              <w:ind w:firstLine="975"/>
            </w:pPr>
            <w:r>
              <w:rPr>
                <w:rFonts w:ascii="仿宋_GB2312" w:hAnsi="仿宋_GB2312" w:cs="仿宋_GB2312" w:eastAsia="仿宋_GB2312"/>
              </w:rPr>
              <w:t>联系人：赵工</w:t>
            </w:r>
          </w:p>
          <w:p>
            <w:pPr>
              <w:pStyle w:val="null3"/>
              <w:ind w:firstLine="975"/>
            </w:pPr>
            <w:r>
              <w:rPr>
                <w:rFonts w:ascii="仿宋_GB2312" w:hAnsi="仿宋_GB2312" w:cs="仿宋_GB2312" w:eastAsia="仿宋_GB2312"/>
              </w:rPr>
              <w:t>联系电话号码：15667290283、15902910121</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西北大学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西北大学</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西北大学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以本项目合同约定为准。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联系人：刘昆、赵婉婷</w:t>
      </w:r>
    </w:p>
    <w:p>
      <w:pPr>
        <w:pStyle w:val="null3"/>
      </w:pPr>
      <w:r>
        <w:rPr>
          <w:rFonts w:ascii="仿宋_GB2312" w:hAnsi="仿宋_GB2312" w:cs="仿宋_GB2312" w:eastAsia="仿宋_GB2312"/>
        </w:rPr>
        <w:t>联系电话：029-89581311、15667290283</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长安校区新建学生公寓20-22号楼窗帘，该三栋楼学生宿舍1333间，所需窗帘1333套，每套含窗帘布片、配套轨道、滑轮、固定支架及绑带等完整组件，涵盖全量货物的生产、运输、上门安装调试及售后质保等一站式服务，适配公寓宿舍窗户规格，统一标准交付，具体以招标文件及答疑文件等文件所涵盖的全部内容为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279,930.00</w:t>
      </w:r>
    </w:p>
    <w:p>
      <w:pPr>
        <w:pStyle w:val="null3"/>
      </w:pPr>
      <w:r>
        <w:rPr>
          <w:rFonts w:ascii="仿宋_GB2312" w:hAnsi="仿宋_GB2312" w:cs="仿宋_GB2312" w:eastAsia="仿宋_GB2312"/>
        </w:rPr>
        <w:t>采购包最高限价（元）: 279,930.00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窗帘</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279,930.00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标的名称：窗帘</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32"/>
              <w:gridCol w:w="228"/>
              <w:gridCol w:w="1543"/>
              <w:gridCol w:w="224"/>
              <w:gridCol w:w="156"/>
              <w:gridCol w:w="269"/>
            </w:tblGrid>
            <w:tr>
              <w:tc>
                <w:tcPr>
                  <w:tcW w:type="dxa" w:w="1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货物名称</w:t>
                  </w:r>
                </w:p>
              </w:tc>
              <w:tc>
                <w:tcPr>
                  <w:tcW w:type="dxa" w:w="15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技术参数</w:t>
                  </w:r>
                </w:p>
              </w:tc>
              <w:tc>
                <w:tcPr>
                  <w:tcW w:type="dxa" w:w="2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窗帘</w:t>
                  </w:r>
                </w:p>
              </w:tc>
              <w:tc>
                <w:tcPr>
                  <w:tcW w:type="dxa" w:w="1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一、窗帘：</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材质与性能：选用聚酯纤维材质，（棉</w:t>
                  </w:r>
                  <w:r>
                    <w:rPr>
                      <w:rFonts w:ascii="仿宋_GB2312" w:hAnsi="仿宋_GB2312" w:cs="仿宋_GB2312" w:eastAsia="仿宋_GB2312"/>
                      <w:sz w:val="24"/>
                    </w:rPr>
                    <w:t>+涤含遮光丝）布料重量要求≥400g/㎡具备优异的透气性、高强度、耐磨性、抗皱性及高色牢度（不易褪色），配绑带（缝制在窗帘一侧）。</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尺寸</w:t>
                  </w:r>
                  <w:r>
                    <w:rPr>
                      <w:rFonts w:ascii="仿宋_GB2312" w:hAnsi="仿宋_GB2312" w:cs="仿宋_GB2312" w:eastAsia="仿宋_GB2312"/>
                      <w:sz w:val="24"/>
                    </w:rPr>
                    <w:t>1.85mX2.3m，最终以实际测量为准；成品帘覆盖窗框宽度、高度各追加不少于40cm，已实现遮光效果。褶皱比例褶皱比例1：2。</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功能要求：遮光率</w:t>
                  </w:r>
                  <w:r>
                    <w:rPr>
                      <w:rFonts w:ascii="仿宋_GB2312" w:hAnsi="仿宋_GB2312" w:cs="仿宋_GB2312" w:eastAsia="仿宋_GB2312"/>
                      <w:sz w:val="24"/>
                    </w:rPr>
                    <w:t>≥99%</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所有面料中有害物质含量必须严格符合国家强制性标准</w:t>
                  </w:r>
                  <w:r>
                    <w:rPr>
                      <w:rFonts w:ascii="仿宋_GB2312" w:hAnsi="仿宋_GB2312" w:cs="仿宋_GB2312" w:eastAsia="仿宋_GB2312"/>
                      <w:sz w:val="24"/>
                    </w:rPr>
                    <w:t>GB 18401-2010《国家纺织产品基本安全技术规范》要求，确保无毒、无味、健康安全。甲醛含量等关键指标需满足相关环保要求，供货前提供具有CMA或CNAS认证的检测机构出具的检测报告，报告需明确体现聚酯纤维含量符合要求的检测报告。</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阻燃性能：中国</w:t>
                  </w:r>
                  <w:r>
                    <w:rPr>
                      <w:rFonts w:ascii="仿宋_GB2312" w:hAnsi="仿宋_GB2312" w:cs="仿宋_GB2312" w:eastAsia="仿宋_GB2312"/>
                      <w:sz w:val="24"/>
                    </w:rPr>
                    <w:t>B1 级标准（GB/T 5455-2014），垂直燃烧性能（GB/T 5455-2014）：损毁长度经向≤150mm、纬向≤150mm，续燃时间经向≤5s、纬向≤5s，阴燃时间经向≤5s、纬向≤5s，燃烧滴落物 / 微粒未引起脱脂棉燃烧或阴燃；极限氧指数（GB/T 5454-1997）：经向氧指数≥32%，纬向氧指数≥32%；烟密度等级（GB/T 8627-2007）：烟密度等级（SDR）≤15；产烟毒性（GB/T 20285-2006）：产烟毒性等级≥ ZA2 级。</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色牢度：耐光色牢度</w:t>
                  </w:r>
                  <w:r>
                    <w:rPr>
                      <w:rFonts w:ascii="仿宋_GB2312" w:hAnsi="仿宋_GB2312" w:cs="仿宋_GB2312" w:eastAsia="仿宋_GB2312"/>
                      <w:sz w:val="24"/>
                    </w:rPr>
                    <w:t>≥4级；防紫外线性能：防紫外线性能：UPF平均值(紫外线防护系数)：＞50；UVA平均透射比：≤5%；UVB平均透射比：≤5%；GB/T18830-2009。</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工艺：窗帘加工过程要求精细，不易飘线、毛边，保证成品布料的平整性。制作完成后需要高温定型确保美观。</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颜色采用暖色系列，供应商推荐三款颜色，最终由采购人确定。</w:t>
                  </w:r>
                </w:p>
                <w:p>
                  <w:pPr>
                    <w:pStyle w:val="null3"/>
                    <w:jc w:val="left"/>
                  </w:pPr>
                  <w:r>
                    <w:rPr>
                      <w:rFonts w:ascii="仿宋_GB2312" w:hAnsi="仿宋_GB2312" w:cs="仿宋_GB2312" w:eastAsia="仿宋_GB2312"/>
                      <w:sz w:val="24"/>
                    </w:rPr>
                    <w:t>二、轨道：</w:t>
                  </w:r>
                </w:p>
                <w:p>
                  <w:pPr>
                    <w:pStyle w:val="null3"/>
                    <w:jc w:val="left"/>
                  </w:pPr>
                  <w:r>
                    <w:rPr>
                      <w:rFonts w:ascii="仿宋_GB2312" w:hAnsi="仿宋_GB2312" w:cs="仿宋_GB2312" w:eastAsia="仿宋_GB2312"/>
                      <w:sz w:val="22"/>
                    </w:rPr>
                    <w:t>1．</w:t>
                  </w:r>
                  <w:r>
                    <w:rPr>
                      <w:rFonts w:ascii="仿宋_GB2312" w:hAnsi="仿宋_GB2312" w:cs="仿宋_GB2312" w:eastAsia="仿宋_GB2312"/>
                      <w:sz w:val="24"/>
                    </w:rPr>
                    <w:t>材质铝合金；铝材壁厚</w:t>
                  </w:r>
                  <w:r>
                    <w:rPr>
                      <w:rFonts w:ascii="仿宋_GB2312" w:hAnsi="仿宋_GB2312" w:cs="仿宋_GB2312" w:eastAsia="仿宋_GB2312"/>
                      <w:sz w:val="24"/>
                    </w:rPr>
                    <w:t>≥2mm。</w:t>
                  </w:r>
                </w:p>
                <w:p>
                  <w:pPr>
                    <w:pStyle w:val="null3"/>
                    <w:jc w:val="left"/>
                  </w:pPr>
                  <w:r>
                    <w:rPr>
                      <w:rFonts w:ascii="仿宋_GB2312" w:hAnsi="仿宋_GB2312" w:cs="仿宋_GB2312" w:eastAsia="仿宋_GB2312"/>
                      <w:sz w:val="22"/>
                    </w:rPr>
                    <w:t>2．</w:t>
                  </w:r>
                  <w:r>
                    <w:rPr>
                      <w:rFonts w:ascii="仿宋_GB2312" w:hAnsi="仿宋_GB2312" w:cs="仿宋_GB2312" w:eastAsia="仿宋_GB2312"/>
                      <w:sz w:val="24"/>
                    </w:rPr>
                    <w:t>方形轨道</w:t>
                  </w:r>
                  <w:r>
                    <w:rPr>
                      <w:rFonts w:ascii="仿宋_GB2312" w:hAnsi="仿宋_GB2312" w:cs="仿宋_GB2312" w:eastAsia="仿宋_GB2312"/>
                      <w:sz w:val="24"/>
                    </w:rPr>
                    <w:t>(mm)≥23mm*20mm。</w:t>
                  </w:r>
                </w:p>
                <w:p>
                  <w:pPr>
                    <w:pStyle w:val="null3"/>
                    <w:jc w:val="left"/>
                  </w:pPr>
                  <w:r>
                    <w:rPr>
                      <w:rFonts w:ascii="仿宋_GB2312" w:hAnsi="仿宋_GB2312" w:cs="仿宋_GB2312" w:eastAsia="仿宋_GB2312"/>
                      <w:sz w:val="22"/>
                    </w:rPr>
                    <w:t>3．</w:t>
                  </w:r>
                  <w:r>
                    <w:rPr>
                      <w:rFonts w:ascii="仿宋_GB2312" w:hAnsi="仿宋_GB2312" w:cs="仿宋_GB2312" w:eastAsia="仿宋_GB2312"/>
                      <w:sz w:val="24"/>
                    </w:rPr>
                    <w:t>抗拉强度</w:t>
                  </w:r>
                  <w:r>
                    <w:rPr>
                      <w:rFonts w:ascii="仿宋_GB2312" w:hAnsi="仿宋_GB2312" w:cs="仿宋_GB2312" w:eastAsia="仿宋_GB2312"/>
                      <w:sz w:val="24"/>
                    </w:rPr>
                    <w:t>Rm (N/mm²)≥200。</w:t>
                  </w:r>
                </w:p>
                <w:p>
                  <w:pPr>
                    <w:pStyle w:val="null3"/>
                    <w:jc w:val="left"/>
                  </w:pPr>
                  <w:r>
                    <w:rPr>
                      <w:rFonts w:ascii="仿宋_GB2312" w:hAnsi="仿宋_GB2312" w:cs="仿宋_GB2312" w:eastAsia="仿宋_GB2312"/>
                      <w:sz w:val="22"/>
                    </w:rPr>
                    <w:t>4．</w:t>
                  </w:r>
                  <w:r>
                    <w:rPr>
                      <w:rFonts w:ascii="仿宋_GB2312" w:hAnsi="仿宋_GB2312" w:cs="仿宋_GB2312" w:eastAsia="仿宋_GB2312"/>
                      <w:sz w:val="24"/>
                    </w:rPr>
                    <w:t>断后伸长率</w:t>
                  </w:r>
                  <w:r>
                    <w:rPr>
                      <w:rFonts w:ascii="仿宋_GB2312" w:hAnsi="仿宋_GB2312" w:cs="仿宋_GB2312" w:eastAsia="仿宋_GB2312"/>
                      <w:sz w:val="24"/>
                    </w:rPr>
                    <w:t>A50(%)≥9</w:t>
                  </w:r>
                </w:p>
                <w:p>
                  <w:pPr>
                    <w:pStyle w:val="null3"/>
                    <w:jc w:val="left"/>
                  </w:pPr>
                  <w:r>
                    <w:rPr>
                      <w:rFonts w:ascii="仿宋_GB2312" w:hAnsi="仿宋_GB2312" w:cs="仿宋_GB2312" w:eastAsia="仿宋_GB2312"/>
                      <w:sz w:val="22"/>
                    </w:rPr>
                    <w:t>5．</w:t>
                  </w:r>
                  <w:r>
                    <w:rPr>
                      <w:rFonts w:ascii="仿宋_GB2312" w:hAnsi="仿宋_GB2312" w:cs="仿宋_GB2312" w:eastAsia="仿宋_GB2312"/>
                      <w:sz w:val="24"/>
                    </w:rPr>
                    <w:t>耐盐酸性：复合膜表面应无气泡或其他明显变化。</w:t>
                  </w:r>
                </w:p>
                <w:p>
                  <w:pPr>
                    <w:pStyle w:val="null3"/>
                    <w:jc w:val="both"/>
                  </w:pPr>
                  <w:r>
                    <w:rPr>
                      <w:rFonts w:ascii="仿宋_GB2312" w:hAnsi="仿宋_GB2312" w:cs="仿宋_GB2312" w:eastAsia="仿宋_GB2312"/>
                      <w:sz w:val="22"/>
                    </w:rPr>
                    <w:t>6．</w:t>
                  </w:r>
                  <w:r>
                    <w:rPr>
                      <w:rFonts w:ascii="仿宋_GB2312" w:hAnsi="仿宋_GB2312" w:cs="仿宋_GB2312" w:eastAsia="仿宋_GB2312"/>
                      <w:sz w:val="24"/>
                    </w:rPr>
                    <w:t>耐碱性：保护等级</w:t>
                  </w:r>
                  <w:r>
                    <w:rPr>
                      <w:rFonts w:ascii="仿宋_GB2312" w:hAnsi="仿宋_GB2312" w:cs="仿宋_GB2312" w:eastAsia="仿宋_GB2312"/>
                      <w:sz w:val="24"/>
                    </w:rPr>
                    <w:t>≥9.5级。</w:t>
                  </w:r>
                </w:p>
                <w:p>
                  <w:pPr>
                    <w:pStyle w:val="null3"/>
                    <w:jc w:val="both"/>
                  </w:pPr>
                  <w:r>
                    <w:rPr>
                      <w:rFonts w:ascii="仿宋_GB2312" w:hAnsi="仿宋_GB2312" w:cs="仿宋_GB2312" w:eastAsia="仿宋_GB2312"/>
                      <w:sz w:val="22"/>
                    </w:rPr>
                    <w:t>7．</w:t>
                  </w:r>
                  <w:r>
                    <w:rPr>
                      <w:rFonts w:ascii="仿宋_GB2312" w:hAnsi="仿宋_GB2312" w:cs="仿宋_GB2312" w:eastAsia="仿宋_GB2312"/>
                      <w:sz w:val="24"/>
                    </w:rPr>
                    <w:t>耐溶剂性：型材表面不露出阳极氧化膜。</w:t>
                  </w:r>
                </w:p>
                <w:p>
                  <w:pPr>
                    <w:pStyle w:val="null3"/>
                    <w:jc w:val="both"/>
                  </w:pPr>
                  <w:r>
                    <w:rPr>
                      <w:rFonts w:ascii="仿宋_GB2312" w:hAnsi="仿宋_GB2312" w:cs="仿宋_GB2312" w:eastAsia="仿宋_GB2312"/>
                      <w:sz w:val="22"/>
                    </w:rPr>
                    <w:t>8．</w:t>
                  </w:r>
                  <w:r>
                    <w:rPr>
                      <w:rFonts w:ascii="仿宋_GB2312" w:hAnsi="仿宋_GB2312" w:cs="仿宋_GB2312" w:eastAsia="仿宋_GB2312"/>
                      <w:sz w:val="24"/>
                    </w:rPr>
                    <w:t>耐盐雾试验，保护等级</w:t>
                  </w:r>
                  <w:r>
                    <w:rPr>
                      <w:rFonts w:ascii="仿宋_GB2312" w:hAnsi="仿宋_GB2312" w:cs="仿宋_GB2312" w:eastAsia="仿宋_GB2312"/>
                      <w:sz w:val="24"/>
                    </w:rPr>
                    <w:t>≥9级；并在供货前提供具有CMA或CNAS认证的检测机构出具的检测报告，报告需明确体现耐盐雾试验符合要求的检测报告。</w:t>
                  </w:r>
                </w:p>
                <w:p>
                  <w:pPr>
                    <w:pStyle w:val="null3"/>
                    <w:jc w:val="both"/>
                  </w:pPr>
                  <w:r>
                    <w:rPr>
                      <w:rFonts w:ascii="仿宋_GB2312" w:hAnsi="仿宋_GB2312" w:cs="仿宋_GB2312" w:eastAsia="仿宋_GB2312"/>
                      <w:sz w:val="22"/>
                    </w:rPr>
                    <w:t>9．</w:t>
                  </w:r>
                  <w:r>
                    <w:rPr>
                      <w:rFonts w:ascii="仿宋_GB2312" w:hAnsi="仿宋_GB2312" w:cs="仿宋_GB2312" w:eastAsia="仿宋_GB2312"/>
                      <w:sz w:val="24"/>
                    </w:rPr>
                    <w:t>漆膜硬度</w:t>
                  </w:r>
                  <w:r>
                    <w:rPr>
                      <w:rFonts w:ascii="仿宋_GB2312" w:hAnsi="仿宋_GB2312" w:cs="仿宋_GB2312" w:eastAsia="仿宋_GB2312"/>
                      <w:sz w:val="24"/>
                    </w:rPr>
                    <w:t>≥3H（刮破）</w:t>
                  </w:r>
                </w:p>
                <w:p>
                  <w:pPr>
                    <w:pStyle w:val="null3"/>
                    <w:jc w:val="both"/>
                  </w:pPr>
                  <w:r>
                    <w:rPr>
                      <w:rFonts w:ascii="仿宋_GB2312" w:hAnsi="仿宋_GB2312" w:cs="仿宋_GB2312" w:eastAsia="仿宋_GB2312"/>
                      <w:sz w:val="22"/>
                    </w:rPr>
                    <w:t>10．</w:t>
                  </w:r>
                  <w:r>
                    <w:rPr>
                      <w:rFonts w:ascii="仿宋_GB2312" w:hAnsi="仿宋_GB2312" w:cs="仿宋_GB2312" w:eastAsia="仿宋_GB2312"/>
                      <w:sz w:val="24"/>
                    </w:rPr>
                    <w:t>内含：静音树脂轮；内置静音条；摩擦系数低无噪音；</w:t>
                  </w:r>
                  <w:r>
                    <w:rPr>
                      <w:rFonts w:ascii="仿宋_GB2312" w:hAnsi="仿宋_GB2312" w:cs="仿宋_GB2312" w:eastAsia="仿宋_GB2312"/>
                      <w:sz w:val="24"/>
                    </w:rPr>
                    <w:t>A3钢材电镀吊圈；合金喷涂安装码，POM材质封口，滚轮8-10个/m，封口2个，安装码2个/m，以上为基本要求。</w:t>
                  </w:r>
                </w:p>
                <w:p>
                  <w:pPr>
                    <w:pStyle w:val="null3"/>
                    <w:jc w:val="both"/>
                  </w:pPr>
                  <w:r>
                    <w:rPr>
                      <w:rFonts w:ascii="仿宋_GB2312" w:hAnsi="仿宋_GB2312" w:cs="仿宋_GB2312" w:eastAsia="仿宋_GB2312"/>
                      <w:sz w:val="22"/>
                    </w:rPr>
                    <w:t>11．</w:t>
                  </w:r>
                  <w:r>
                    <w:rPr>
                      <w:rFonts w:ascii="仿宋_GB2312" w:hAnsi="仿宋_GB2312" w:cs="仿宋_GB2312" w:eastAsia="仿宋_GB2312"/>
                      <w:sz w:val="24"/>
                    </w:rPr>
                    <w:t>滑轮使用寿命：往复推拉</w:t>
                  </w:r>
                  <w:r>
                    <w:rPr>
                      <w:rFonts w:ascii="仿宋_GB2312" w:hAnsi="仿宋_GB2312" w:cs="仿宋_GB2312" w:eastAsia="仿宋_GB2312"/>
                      <w:sz w:val="24"/>
                    </w:rPr>
                    <w:t>≥10000次，五年内保用，试验后，不变形或未破坏吊轮滑动顺畅自如，不卡轮内含纳米消音条配定向滑轮使用加厚安全码，固定力好。</w:t>
                  </w:r>
                </w:p>
                <w:p>
                  <w:pPr>
                    <w:pStyle w:val="null3"/>
                    <w:jc w:val="both"/>
                  </w:pPr>
                  <w:r>
                    <w:rPr>
                      <w:rFonts w:ascii="仿宋_GB2312" w:hAnsi="仿宋_GB2312" w:cs="仿宋_GB2312" w:eastAsia="仿宋_GB2312"/>
                      <w:sz w:val="22"/>
                    </w:rPr>
                    <w:t>12．</w:t>
                  </w:r>
                  <w:r>
                    <w:rPr>
                      <w:rFonts w:ascii="仿宋_GB2312" w:hAnsi="仿宋_GB2312" w:cs="仿宋_GB2312" w:eastAsia="仿宋_GB2312"/>
                      <w:sz w:val="24"/>
                    </w:rPr>
                    <w:t>产品特性：通过重金属含量测试；涂层附着力：</w:t>
                  </w:r>
                  <w:r>
                    <w:rPr>
                      <w:rFonts w:ascii="仿宋_GB2312" w:hAnsi="仿宋_GB2312" w:cs="仿宋_GB2312" w:eastAsia="仿宋_GB2312"/>
                      <w:sz w:val="24"/>
                    </w:rPr>
                    <w:t>0级；滑轮承重：加载 20KG 载荷无损坏；封口承重：加载 20KG 载荷无变形；轨道承重：加载 50KG 载荷无变形；耐砂浆性：试验后，表面无气泡及其他明显变化。</w:t>
                  </w:r>
                </w:p>
                <w:p>
                  <w:pPr>
                    <w:pStyle w:val="null3"/>
                    <w:jc w:val="both"/>
                  </w:pPr>
                  <w:r>
                    <w:rPr>
                      <w:rFonts w:ascii="仿宋_GB2312" w:hAnsi="仿宋_GB2312" w:cs="仿宋_GB2312" w:eastAsia="仿宋_GB2312"/>
                      <w:sz w:val="22"/>
                    </w:rPr>
                    <w:t>13．</w:t>
                  </w:r>
                  <w:r>
                    <w:rPr>
                      <w:rFonts w:ascii="仿宋_GB2312" w:hAnsi="仿宋_GB2312" w:cs="仿宋_GB2312" w:eastAsia="仿宋_GB2312"/>
                      <w:sz w:val="24"/>
                    </w:rPr>
                    <w:t>表面粉末喷涂工艺。</w:t>
                  </w:r>
                </w:p>
                <w:p>
                  <w:pPr>
                    <w:pStyle w:val="null3"/>
                    <w:jc w:val="both"/>
                  </w:pPr>
                  <w:r>
                    <w:rPr>
                      <w:rFonts w:ascii="仿宋_GB2312" w:hAnsi="仿宋_GB2312" w:cs="仿宋_GB2312" w:eastAsia="仿宋_GB2312"/>
                      <w:sz w:val="22"/>
                    </w:rPr>
                    <w:t>14．</w:t>
                  </w:r>
                  <w:r>
                    <w:rPr>
                      <w:rFonts w:ascii="仿宋_GB2312" w:hAnsi="仿宋_GB2312" w:cs="仿宋_GB2312" w:eastAsia="仿宋_GB2312"/>
                      <w:sz w:val="24"/>
                    </w:rPr>
                    <w:t>安装工艺：每个安装码间距</w:t>
                  </w:r>
                  <w:r>
                    <w:rPr>
                      <w:rFonts w:ascii="仿宋_GB2312" w:hAnsi="仿宋_GB2312" w:cs="仿宋_GB2312" w:eastAsia="仿宋_GB2312"/>
                      <w:sz w:val="24"/>
                    </w:rPr>
                    <w:t>≤0.4m，且必须安装牢固。</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1333</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套</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含</w:t>
                  </w:r>
                  <w:r>
                    <w:rPr>
                      <w:rFonts w:ascii="仿宋_GB2312" w:hAnsi="仿宋_GB2312" w:cs="仿宋_GB2312" w:eastAsia="仿宋_GB2312"/>
                      <w:sz w:val="24"/>
                    </w:rPr>
                    <w:t>运输、上门安装调试及售后质保</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自合同签订之日起30天内到货、安装调试并交付使用。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西北大学长安校区指定地点。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合同生效后，待货物到达指定地点、安装调试验收合格后，一次性付清合同货款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（1）验收分初次开箱验收和学校最终验收两个阶段，以最终验收为准； （2）货物到货后，甲、乙双方共同开箱验收。如属于检验检疫法检目录内货物，由甲乙双方会同海关共同开箱验收。在检查货物原产地、型号、规格、配置符合合同要求后，由乙方负责安装调试、甲方负责技术验收（乙方协助），验收以国内行业标准或合同文本货物供货配置清单中描述的有关技术要求为准； （3）在货物安装调试运行正常后，甲方（采购单位）按学校相关业务部门规定提交验收申请，学校根据采购单位技术验收结果，组织有关专家进行货物的最终验收。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货物的运输方式由乙方自行选择，但包装必须符合国家标准或行业标准，满足航空、铁路或公路运输以及货物装卸要求，保证使用人收到的是无任何损伤的货物；否则，因此造成的损失由乙方自行承担。</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质保期：自学校验收合格之日起5年。 响应时效：即时响应（包括电话响应）；电话响应无法解决时，12小时内到达现场。修复时间24小时内；如24小时内无法修复，应提供相应解决方案。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（一）售后服务标准要求： （1）乙方提供的货物及配套产品，必须是合同规定厂家制造的、合格、全新、未曾使用的、且经过国家质检部门检验，并颁发了产品准销证的产品。 （2）乙方提供的货物及配套产品必须等同或优于合同技术指标要求，并能按国家标准或行业标准供应、检测、调试，确保产品技术指标满足使用要求。 （3）产品质量保证期为货物验收合格后5年。质保期内，乙方对甲方提出的服务响应不得超出24小时，乙方对所供货物免费进行质保和服务。 （4）人员培训：乙方免费为甲方培训货物使用人员，培训内容包括：货物操作、维护、简单维修等。 （二）违约责任：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投标人为向招标人提供货物的法人或其他组织；</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度或2025年度经第三方会计事务所审计过的财务报告，或开标截止时间前90天内基本账户银行出具的资信证明。注：①提供财务报告的，内容至少包括审计报告、附注。②提供资信证明的，必须提供资信证明全部页以及基本户信息（提供开户许可证或提供基本银行账户信息）。银行出具的存款证明不能代替资信证明，存款证明无效，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投标人截止日前6个月内至少一个月依法纳税的相关凭证(税种至少提供任意一种)。注：依法免税的应提供说明，无须缴纳税收的应提供说明以及6个月内的纳税凭证，零报税的提供申报成功的凭证；成立不足一个月的提供将依法纳税的承诺书（格式自拟）；时间以税款所属时段为准，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日前6个月内至少一个月的社会保障资金缴存凭证或社保机构开具的社会保险参保缴费情况凭证；依法不需要缴纳社会保障资金的提供说明；成立不足一个月的提供将依法交纳社会保障资金的承诺书（格式自拟）。注：①通过代缴方式缴存的，需提供链条完整的证明材料，证明材料至少包括代缴方的缴存凭证、供应商向代缴方用于缴存社保的银行转账单据。②供应商可自行打印带有社保机构公章的缴存凭证；提供银行交纳单据的，单据应显示社保缴存项（任一项），并进行电子签章。</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2）《政府采购促进中小企业发展管理办法》（财库〔2020〕46号）、《关于进一步加大政府采购支持中小企业力度的通知》（财库〔2022〕19 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监管总局联合印发《关于调整优化节能产品、环境标志产品政府采购执行机制的通知》（财库〔2019〕9号）； （4）《陕西省财政厅关于加快推进我省中小企业政府采购信用融资工作的通知》（陕财办采〔2020〕15号）、陕西省财政厅关于印发《陕西省中小企业政府采购信用融资办法》（陕财办采〔2018〕23号）； （5）其他需要落实的政府采购政策。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投标文件按招标文件要求签署、盖章的</w:t>
            </w:r>
          </w:p>
        </w:tc>
        <w:tc>
          <w:tcPr>
            <w:tcW w:type="dxa" w:w="1661"/>
          </w:tcPr>
          <w:p>
            <w:pPr>
              <w:pStyle w:val="null3"/>
            </w:pPr>
            <w:r>
              <w:rPr>
                <w:rFonts w:ascii="仿宋_GB2312" w:hAnsi="仿宋_GB2312" w:cs="仿宋_GB2312" w:eastAsia="仿宋_GB2312"/>
              </w:rPr>
              <w:t>开标一览表 节能环保.docx 中小企业声明函 商务应答表 质量保证.docx 团队人员保障方案.docx 样品.docx 业绩表.docx 产品技术参数表 投标函 售后服务.docx 残疾人福利性单位声明函 法定代表人证明书及授权书.docx 标的清单 投标人资格证明文件.docx 投标文件封面 实施方案.docx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报价是否超过招标文件中规定的最高限价的</w:t>
            </w:r>
          </w:p>
        </w:tc>
        <w:tc>
          <w:tcPr>
            <w:tcW w:type="dxa" w:w="3322"/>
          </w:tcPr>
          <w:p>
            <w:pPr>
              <w:pStyle w:val="null3"/>
            </w:pPr>
            <w:r>
              <w:rPr>
                <w:rFonts w:ascii="仿宋_GB2312" w:hAnsi="仿宋_GB2312" w:cs="仿宋_GB2312" w:eastAsia="仿宋_GB2312"/>
              </w:rPr>
              <w:t>报价未超过招标文件中规定的最高限价的</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投标文件是否含有招标人不能接受的附加条件的或其他情形</w:t>
            </w:r>
          </w:p>
        </w:tc>
        <w:tc>
          <w:tcPr>
            <w:tcW w:type="dxa" w:w="3322"/>
          </w:tcPr>
          <w:p>
            <w:pPr>
              <w:pStyle w:val="null3"/>
            </w:pPr>
            <w:r>
              <w:rPr>
                <w:rFonts w:ascii="仿宋_GB2312" w:hAnsi="仿宋_GB2312" w:cs="仿宋_GB2312" w:eastAsia="仿宋_GB2312"/>
              </w:rPr>
              <w:t>投标文件未含有招标人不能接受的附加条件的或其他情形</w:t>
            </w:r>
          </w:p>
        </w:tc>
        <w:tc>
          <w:tcPr>
            <w:tcW w:type="dxa" w:w="1661"/>
          </w:tcPr>
          <w:p>
            <w:pPr>
              <w:pStyle w:val="null3"/>
            </w:pPr>
            <w:r>
              <w:rPr>
                <w:rFonts w:ascii="仿宋_GB2312" w:hAnsi="仿宋_GB2312" w:cs="仿宋_GB2312" w:eastAsia="仿宋_GB2312"/>
              </w:rPr>
              <w:t>开标一览表 节能环保.docx 中小企业声明函 商务应答表 质量保证.docx 团队人员保障方案.docx 样品.docx 业绩表.docx 产品技术参数表 投标函 售后服务.docx 残疾人福利性单位声明函 法定代表人证明书及授权书.docx 标的清单 投标人资格证明文件.docx 投标文件封面 实施方案.docx 监狱企业的证明文件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是否发现法律、法规和招标文件规定的其他无效情形</w:t>
            </w:r>
          </w:p>
        </w:tc>
        <w:tc>
          <w:tcPr>
            <w:tcW w:type="dxa" w:w="3322"/>
          </w:tcPr>
          <w:p>
            <w:pPr>
              <w:pStyle w:val="null3"/>
            </w:pPr>
            <w:r>
              <w:rPr>
                <w:rFonts w:ascii="仿宋_GB2312" w:hAnsi="仿宋_GB2312" w:cs="仿宋_GB2312" w:eastAsia="仿宋_GB2312"/>
              </w:rPr>
              <w:t>未发现法律、法规和招标文件规定的其他无效情形</w:t>
            </w:r>
          </w:p>
        </w:tc>
        <w:tc>
          <w:tcPr>
            <w:tcW w:type="dxa" w:w="1661"/>
          </w:tcPr>
          <w:p>
            <w:pPr>
              <w:pStyle w:val="null3"/>
            </w:pPr>
            <w:r>
              <w:rPr>
                <w:rFonts w:ascii="仿宋_GB2312" w:hAnsi="仿宋_GB2312" w:cs="仿宋_GB2312" w:eastAsia="仿宋_GB2312"/>
              </w:rPr>
              <w:t>开标一览表 节能环保.docx 中小企业声明函 商务应答表 质量保证.docx 团队人员保障方案.docx 样品.docx 业绩表.docx 产品技术参数表 投标函 售后服务.docx 残疾人福利性单位声明函 法定代表人证明书及授权书.docx 标的清单 投标人资格证明文件.docx 投标文件封面 实施方案.docx 监狱企业的证明文件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投标文件是否响应本项目商务要求及服务内容及要求中的标记“★”条款</w:t>
            </w:r>
          </w:p>
        </w:tc>
        <w:tc>
          <w:tcPr>
            <w:tcW w:type="dxa" w:w="3322"/>
          </w:tcPr>
          <w:p>
            <w:pPr>
              <w:pStyle w:val="null3"/>
            </w:pPr>
            <w:r>
              <w:rPr>
                <w:rFonts w:ascii="仿宋_GB2312" w:hAnsi="仿宋_GB2312" w:cs="仿宋_GB2312" w:eastAsia="仿宋_GB2312"/>
              </w:rPr>
              <w:t>投标文件响应本项目商务要求及采购内容及要求中的标记“★”条款</w:t>
            </w:r>
          </w:p>
        </w:tc>
        <w:tc>
          <w:tcPr>
            <w:tcW w:type="dxa" w:w="1661"/>
          </w:tcPr>
          <w:p>
            <w:pPr>
              <w:pStyle w:val="null3"/>
            </w:pPr>
            <w:r>
              <w:rPr>
                <w:rFonts w:ascii="仿宋_GB2312" w:hAnsi="仿宋_GB2312" w:cs="仿宋_GB2312" w:eastAsia="仿宋_GB2312"/>
              </w:rPr>
              <w:t>开标一览表 节能环保.docx 中小企业声明函 商务应答表 质量保证.docx 团队人员保障方案.docx 样品.docx 业绩表.docx 产品技术参数表 投标函 售后服务.docx 残疾人福利性单位声明函 法定代表人证明书及授权书.docx 标的清单 投标人资格证明文件.docx 投标文件封面 实施方案.docx 监狱企业的证明文件 报价明细表.docx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投标人应授权合法的人员参加本项目招标活动全过程</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投标文件递交截止时间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根据产品技术和性能响应情况进行评审，完全响应并满足技术参数要求的得22分，有一项未响应或不满足采购需求的扣1.5分，扣完为止。 备注：相应的各参数指标均需提供佐证材料。佐证材料可以是产品技术说明书或产品彩页或使用说明书或有资质的第三方出具的检验报告或设备功能证明及截图等供应商认为可以佐证参数响应性的材料。投标人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投标人需针对本项目提供完整的项目实施方案。内容包含：①供货组织安排、物力调配及保障措施②安装调试验收。 二、评审标准 1、完整性：方案须全面，对评审内容中的各项要求描述详细；2、可实施性：切合本项目实际情况，实施步骤清晰、合理； 3、针对性：方案能够紧扣项目实际情况，内容科学合理。 赋分依据（满分3分） ①供货组织安排、物力调配及保障措施：每完全满足一个评审标准得0.5分，满分1.5分；未提供不得分；②安装调试验收:每完全满足一个评审标准得0.5分，满分1.5分；未提供不得分。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团队人员保障方案</w:t>
            </w:r>
          </w:p>
        </w:tc>
        <w:tc>
          <w:tcPr>
            <w:tcW w:type="dxa" w:w="2492"/>
          </w:tcPr>
          <w:p>
            <w:pPr>
              <w:pStyle w:val="null3"/>
            </w:pPr>
            <w:r>
              <w:rPr>
                <w:rFonts w:ascii="仿宋_GB2312" w:hAnsi="仿宋_GB2312" w:cs="仿宋_GB2312" w:eastAsia="仿宋_GB2312"/>
              </w:rPr>
              <w:t>一、评审内容 根据投标人提供针对本项目提供团队人员保障方案，内容包含：①管理机构及岗位职责制度②专业技术人员投入。 二、评审标准 完整性：方案须全面，对评审内容中的各项要求有详细描述；2、可实施性：切合本项目实际情况，实施步骤清晰、合理； 3、针对性：方案能够紧扣项目实际情况，内容科学合理。 三、赋分标准（满分3分） ①管理机构及岗位职责制度：每完全满足一个评审标准得0.5分，满分1.5分；未提供不得分； ②专业技术人员投入：每完全满足一个评审标准得0.5分，满 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团队人员保障方案.docx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根据项目实际需求，提供质量保证方案。内容包含：①产品性能、使用寿命及效果②质量保证措施。 二、评审标准 1、完整性：方案须全面，对评审内容中的各项要求有详细描述；2、可实施性：切合本项目实际情况，实施步 骤清晰、合理；3、针对性：方案能够紧扣项目实际情况，内容科学合理。 三、赋分依据（满分3分） ①产品性能、使用寿命及效果：每完全满足一个评审标准得0.5分，满分1.5分；未提供不得分； ②质量保证措施:每完全满足一个评审标准得0.5分，满分1.5分；未提供不得分。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根据项目实际需求提供售后服务方案。内容包含：①本 地化服务能力、服务范围及保障措施②应急处理方案。 二、评审标准 1.完整性：方案须全面，对评审内容中的各项要求有详细描述；2.可实施性：切合本项目实际情况，提出步骤清晰、合理的方案；3.针对性：方案能够紧扣项目实际情况，内容科学合理。 三、赋分依据（满分3分） ①售后服务范围及保障措施：每完全满足一个评审标准得0.5分，满分1.5分；未提供不得分；②应急处理方案:每完全满足一个评审标准得0.5分，满分1.5分；未提供不得分。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提供投标人2023年3月1日至今同类项目合同（以合同签订日期为准），每提供1个得1分，最高得5分。备注：投标文件中提供合同复印件。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在节能或环境标志产品政府采购品目清单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样品要求： 一、窗帘（3个）样品评审：样品规格40*40cm需搭配绑带。高温定型，三种不同暖色系列。 二、轨道（1个）样品评审：样品规格长度20cm，铝材壁厚要求≥2.0mm，表面漆面光滑无划痕。 1.根据投标人针对本项目提供的窗帘样品(包括：①面料无划痕破损、无脏迹、熨烫平服、面料符合规定的阻燃性能要求；②面料无明显色差，色彩均匀，无异味；③裁剪均匀平整、无毛边；④缝制走线平整、拼接牢固、无断线)进行综合评审。完全满足上述要求的得8分，每有一项不满足要求的扣2分，扣完为止。 2.根据投标人针对本项目提供的铝合金窗帘轨道样品(包括：①表面处理：无皱皮、裂纹、气泡、流痕、夹杂物，发粘和漆膜脱落，光滑无毛刺无锈迹，无刺鼻异味；②型材无变形、翘曲、凹凸不平；③滑轮空载状态下顺畅无声，无卡顿、卡滞、松脱。)进行综合评审。完全满足上述要求的得6分，每有一项不满足要求的扣2分，扣完为止。 注:1.不满足样品规格要求或不提供样品或提供错误样品的均不得分。 2.投标人于投标文件递交截止时间前将统一将密封好的样品箱（袋）（非透明、非易碎包装）交由招标代理机构工作人员【每箱样品必须将所有样品和相应的证明材料统一放入密封的箱子内，如违反上述规定，其相关不利风险由投标人自行承担。】 3.投标人递交样品的外包装不得以粘贴、印刷、标记等方式出现投标人的单位名称及相关字样或其LOGO图案。 4.投标人未在规定时间未将样品送达指定地点的，逾期将不予受理。 5.开标会议结束后，中标人的样品不予退还，由招标人保存，以便交货时与实际供货产品进行比对查验，如中标人所提供的产品与样品不一致时，招标人将予以追究该单位的违约责任和经济赔偿。未中标单位的样品在结果公告发出之后给与退还。</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样品.docx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经初审合格的投标文件，其投标报价为有效投标价。评审基准价：即满足招标文件要求且投标报价最低的为评审基准价。 其他投标人的价格分统一按照下列公式计算。 价格分=（评审基准价/投标报价）×35</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详见附件：团队人员保障方案.docx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详见附件：样品.docx</w:t>
      </w:r>
    </w:p>
    <w:p>
      <w:pPr>
        <w:pStyle w:val="null3"/>
        <w:ind w:firstLine="960"/>
      </w:pPr>
      <w:r>
        <w:rPr>
          <w:rFonts w:ascii="仿宋_GB2312" w:hAnsi="仿宋_GB2312" w:cs="仿宋_GB2312" w:eastAsia="仿宋_GB2312"/>
        </w:rPr>
        <w:t>详见附件：投标人资格证明文件.docx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详见附件：3.24--西北大学购货合同.docx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