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5788C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样品</w:t>
      </w:r>
    </w:p>
    <w:p w14:paraId="4C5E0703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样品要求：</w:t>
      </w:r>
    </w:p>
    <w:p w14:paraId="28025B0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一、窗帘（3个）样品评审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样品规格40*40cm需搭配绑带。高温定型，三种不同暖色系列。</w:t>
      </w:r>
    </w:p>
    <w:p w14:paraId="099F36F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二、轨道（1个）样品评审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样品规格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  <w:t>长度20cm，铝材壁厚要求≥1.0mm，表面漆面光滑无划痕。</w:t>
      </w:r>
    </w:p>
    <w:p w14:paraId="4C951678">
      <w:pPr>
        <w:numPr>
          <w:ilvl w:val="-1"/>
          <w:numId w:val="0"/>
        </w:numPr>
        <w:spacing w:line="360" w:lineRule="auto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highlight w:val="none"/>
          <w:shd w:val="clear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根据投标人针对本项目提供的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窗帘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样品(包括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面料无划痕破损、无脏迹、熨烫平服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、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面料符合规定的阻燃性能要求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面料无明显色差，色彩均匀，无异味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③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裁剪均匀平整、无毛边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④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缝制走线平整、拼接牢固、无断线)进行综合评审。完全满足上述要求的得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8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分，每有一项不满足要求的扣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分，扣完为止。</w:t>
      </w:r>
    </w:p>
    <w:p w14:paraId="17BE4CD0">
      <w:pPr>
        <w:numPr>
          <w:ilvl w:val="-1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highlight w:val="none"/>
          <w:shd w:val="clear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根据投标人针对本项目提供的铝合金窗帘轨道样品(包括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①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表面处理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无皱皮、裂纹、气泡、流痕、夹杂物，发粘和漆膜脱落，光滑无毛刺无锈迹，无刺鼻异味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②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型材无变形、翘曲、凹凸不平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eastAsia="zh-CN" w:bidi="ar"/>
        </w:rPr>
        <w:t>；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③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fill="FFFFFF"/>
          <w:lang w:bidi="ar"/>
        </w:rPr>
        <w:t>滑轮空载状态下顺畅无声，无卡顿、卡滞、松脱。)进行综合评审。完全满足上述要求的得6分，每有一项不满足要求的扣2分，扣完为止。</w:t>
      </w:r>
    </w:p>
    <w:p w14:paraId="5D64CCAA">
      <w:pPr>
        <w:numPr>
          <w:ilvl w:val="-1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bidi="ar"/>
        </w:rPr>
        <w:t>注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eastAsia="zh-CN" w:bidi="ar"/>
        </w:rPr>
        <w:t>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fill="FFFFFF"/>
          <w:lang w:bidi="ar"/>
        </w:rPr>
        <w:t>不满足样品规格要求或不提供样品或提供错误样品的均不得分。</w:t>
      </w:r>
    </w:p>
    <w:p w14:paraId="7BCD8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投标人于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投标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文件递交截止时间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前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将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统一将密封好的样品箱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（袋）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（非透明、非易碎包装）交由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招标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代理机构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工作人员【每箱样品必须将所有样品和相应的证明材料统一放入密封的箱子内，如违反上述规定，其相关不利风险由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自行承担。】</w:t>
      </w:r>
    </w:p>
    <w:p w14:paraId="4DA1D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3.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投标人递交样品的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外包装不得以粘贴、印刷、标记等方式出现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的单位名称及相关字样或其LOGO图案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。</w:t>
      </w:r>
    </w:p>
    <w:p w14:paraId="597C2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.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未在规定时间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未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将样品送达指定地点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的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，逾期将不予受理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。</w:t>
      </w:r>
    </w:p>
    <w:p w14:paraId="3A179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5.开标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会议结束后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，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中标人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的样品不予退还，由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招标人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保存，以便交货时与实际供货产品进行比对查验，如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中标人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所提供的产品与样品不一致时，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eastAsia="zh-CN" w:bidi="ar"/>
        </w:rPr>
        <w:t>招标人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bidi="ar"/>
        </w:rPr>
        <w:t>将予以追究该单位的违约责任和经济赔偿。</w:t>
      </w:r>
      <w:r>
        <w:rPr>
          <w:rFonts w:hint="eastAsia" w:ascii="宋体" w:hAnsi="宋体" w:eastAsia="宋体" w:cs="宋体"/>
          <w:b/>
          <w:bCs/>
          <w:color w:val="0000FF"/>
          <w:kern w:val="0"/>
          <w:sz w:val="24"/>
          <w:szCs w:val="24"/>
          <w:highlight w:val="none"/>
          <w:shd w:val="clear" w:fill="FFFFFF"/>
          <w:lang w:val="en-US" w:eastAsia="zh-CN" w:bidi="ar"/>
        </w:rPr>
        <w:t>未中标单位的样品在结果公告发出之后给与退还。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F2A1A"/>
    <w:rsid w:val="010F2A1A"/>
    <w:rsid w:val="04AA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687</Words>
  <Characters>714</Characters>
  <Lines>0</Lines>
  <Paragraphs>0</Paragraphs>
  <TotalTime>0</TotalTime>
  <ScaleCrop>false</ScaleCrop>
  <LinksUpToDate>false</LinksUpToDate>
  <CharactersWithSpaces>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2026-03-24T09:40:00Z</dcterms:created>
  <dc:creator>M</dc:creator>
  <cp:lastModifiedBy>M</cp:lastModifiedBy>
  <dcterms:modified xsi:type="dcterms:W3CDTF">2026-03-25T02:47:21Z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D1A9AB056B964395BFDE561F39AA2DED_11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