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版本号：【KRDL】K4-260302520260324001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教职工体检服务医疗机构引入项目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【KRDL】K4-2603025</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教职工体检服务医疗机构引入项目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【KRDL】K4-2603025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教职工体检服务医疗机构引入项目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邮电大学拟引入专业医疗检测机构对教职工提供体检服务，拟体检人员数量约为2020人（其中：40以下男人数预计236人、40以下女人数预计275人、40（含40）以上及退休男人数预计650人、40（含40）以上及退休女人数预计620人），最终结算以实际体检人数为准，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1、主体资格：供应商为向采购人提供相关服务的法人或其他组织；</w:t>
      </w:r>
    </w:p>
    <w:p>
      <w:pPr>
        <w:pStyle w:val="null3"/>
      </w:pPr>
      <w:r>
        <w:rPr>
          <w:rFonts w:ascii="仿宋_GB2312" w:hAnsi="仿宋_GB2312" w:cs="仿宋_GB2312" w:eastAsia="仿宋_GB2312"/>
        </w:rPr>
        <w:t>2、信用资格要求：截止至响应文件递交截止时间之前，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3、供应商资质要求：供应商应为三级医疗机构，同时具备合法有效的《医疗机构执业许可证》及《放射诊疗许可证》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029-89581863、15229797656、15667067713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中华人民共和国国家发展和改革委员会办公厅颁发的《关于招标代理服务收费有关问题的通知》（发改办价格[2003] 857号）的有关规定标准下浮20%计取，向采购代理机构一次付清代理服务费。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w:t>
      </w:r>
    </w:p>
    <w:p>
      <w:pPr>
        <w:pStyle w:val="null3"/>
      </w:pPr>
      <w:r>
        <w:rPr>
          <w:rFonts w:ascii="仿宋_GB2312" w:hAnsi="仿宋_GB2312" w:cs="仿宋_GB2312" w:eastAsia="仿宋_GB2312"/>
        </w:rPr>
        <w:t>联系电话：029-89581863、15229797656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邮电大学拟采购专业医疗检测机构对教职工进行体检服务，拟体检人员数量约为2020人（其中：40以下男人数预计236人、40以下女人数预计275人、40（含40）以上及退休男人数预计650人、40（含40）以上及退休女人数预计620人），最终结算以实际体检人数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教职工体检服务医疗机构引入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标的名称：教职工体检服务医疗机构引入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480"/>
            </w:pPr>
            <w:r>
              <w:rPr>
                <w:rFonts w:ascii="仿宋_GB2312" w:hAnsi="仿宋_GB2312" w:cs="仿宋_GB2312" w:eastAsia="仿宋_GB2312"/>
                <w:sz w:val="24"/>
                <w:color w:val="000000"/>
              </w:rPr>
              <w:t>西安</w:t>
            </w:r>
            <w:r>
              <w:rPr>
                <w:rFonts w:ascii="仿宋_GB2312" w:hAnsi="仿宋_GB2312" w:cs="仿宋_GB2312" w:eastAsia="仿宋_GB2312"/>
                <w:sz w:val="24"/>
                <w:color w:val="000000"/>
              </w:rPr>
              <w:t>邮电大学</w:t>
            </w:r>
            <w:r>
              <w:rPr>
                <w:rFonts w:ascii="仿宋_GB2312" w:hAnsi="仿宋_GB2312" w:cs="仿宋_GB2312" w:eastAsia="仿宋_GB2312"/>
                <w:sz w:val="24"/>
                <w:color w:val="000000"/>
              </w:rPr>
              <w:t>拟采购专业医疗检测机构对教职工进行体检服务，拟体检人员数量</w:t>
            </w:r>
            <w:r>
              <w:rPr>
                <w:rFonts w:ascii="仿宋_GB2312" w:hAnsi="仿宋_GB2312" w:cs="仿宋_GB2312" w:eastAsia="仿宋_GB2312"/>
                <w:sz w:val="24"/>
                <w:color w:val="000000"/>
              </w:rPr>
              <w:t>约</w:t>
            </w:r>
            <w:r>
              <w:rPr>
                <w:rFonts w:ascii="仿宋_GB2312" w:hAnsi="仿宋_GB2312" w:cs="仿宋_GB2312" w:eastAsia="仿宋_GB2312"/>
                <w:sz w:val="24"/>
                <w:color w:val="000000"/>
              </w:rPr>
              <w:t>为</w:t>
            </w:r>
            <w:r>
              <w:rPr>
                <w:rFonts w:ascii="仿宋_GB2312" w:hAnsi="仿宋_GB2312" w:cs="仿宋_GB2312" w:eastAsia="仿宋_GB2312"/>
                <w:sz w:val="24"/>
                <w:color w:val="000000"/>
              </w:rPr>
              <w:t>2020</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（其中：</w:t>
            </w:r>
            <w:r>
              <w:rPr>
                <w:rFonts w:ascii="仿宋_GB2312" w:hAnsi="仿宋_GB2312" w:cs="仿宋_GB2312" w:eastAsia="仿宋_GB2312"/>
                <w:sz w:val="24"/>
                <w:color w:val="000000"/>
              </w:rPr>
              <w:t>40以下男</w:t>
            </w:r>
            <w:r>
              <w:rPr>
                <w:rFonts w:ascii="仿宋_GB2312" w:hAnsi="仿宋_GB2312" w:cs="仿宋_GB2312" w:eastAsia="仿宋_GB2312"/>
                <w:sz w:val="24"/>
                <w:color w:val="000000"/>
              </w:rPr>
              <w:t>人数预计</w:t>
            </w:r>
            <w:r>
              <w:rPr>
                <w:rFonts w:ascii="仿宋_GB2312" w:hAnsi="仿宋_GB2312" w:cs="仿宋_GB2312" w:eastAsia="仿宋_GB2312"/>
                <w:sz w:val="24"/>
                <w:color w:val="000000"/>
              </w:rPr>
              <w:t>236</w:t>
            </w:r>
            <w:r>
              <w:rPr>
                <w:rFonts w:ascii="仿宋_GB2312" w:hAnsi="仿宋_GB2312" w:cs="仿宋_GB2312" w:eastAsia="仿宋_GB2312"/>
                <w:sz w:val="24"/>
                <w:color w:val="000000"/>
              </w:rPr>
              <w:t>人、</w:t>
            </w:r>
            <w:r>
              <w:rPr>
                <w:rFonts w:ascii="仿宋_GB2312" w:hAnsi="仿宋_GB2312" w:cs="仿宋_GB2312" w:eastAsia="仿宋_GB2312"/>
                <w:sz w:val="24"/>
                <w:color w:val="000000"/>
              </w:rPr>
              <w:t>40以下女</w:t>
            </w:r>
            <w:r>
              <w:rPr>
                <w:rFonts w:ascii="仿宋_GB2312" w:hAnsi="仿宋_GB2312" w:cs="仿宋_GB2312" w:eastAsia="仿宋_GB2312"/>
                <w:sz w:val="24"/>
                <w:color w:val="000000"/>
              </w:rPr>
              <w:t>人数预计</w:t>
            </w:r>
            <w:r>
              <w:rPr>
                <w:rFonts w:ascii="仿宋_GB2312" w:hAnsi="仿宋_GB2312" w:cs="仿宋_GB2312" w:eastAsia="仿宋_GB2312"/>
                <w:sz w:val="24"/>
                <w:color w:val="000000"/>
              </w:rPr>
              <w:t>275</w:t>
            </w:r>
            <w:r>
              <w:rPr>
                <w:rFonts w:ascii="仿宋_GB2312" w:hAnsi="仿宋_GB2312" w:cs="仿宋_GB2312" w:eastAsia="仿宋_GB2312"/>
                <w:sz w:val="24"/>
                <w:color w:val="000000"/>
              </w:rPr>
              <w:t>人、</w:t>
            </w:r>
            <w:r>
              <w:rPr>
                <w:rFonts w:ascii="仿宋_GB2312" w:hAnsi="仿宋_GB2312" w:cs="仿宋_GB2312" w:eastAsia="仿宋_GB2312"/>
                <w:sz w:val="24"/>
                <w:color w:val="000000"/>
              </w:rPr>
              <w:t>40（含40）以上及退休男人数</w:t>
            </w:r>
            <w:r>
              <w:rPr>
                <w:rFonts w:ascii="仿宋_GB2312" w:hAnsi="仿宋_GB2312" w:cs="仿宋_GB2312" w:eastAsia="仿宋_GB2312"/>
                <w:sz w:val="24"/>
                <w:color w:val="000000"/>
              </w:rPr>
              <w:t>预计</w:t>
            </w:r>
            <w:r>
              <w:rPr>
                <w:rFonts w:ascii="仿宋_GB2312" w:hAnsi="仿宋_GB2312" w:cs="仿宋_GB2312" w:eastAsia="仿宋_GB2312"/>
                <w:sz w:val="24"/>
                <w:color w:val="000000"/>
              </w:rPr>
              <w:t>650</w:t>
            </w:r>
            <w:r>
              <w:rPr>
                <w:rFonts w:ascii="仿宋_GB2312" w:hAnsi="仿宋_GB2312" w:cs="仿宋_GB2312" w:eastAsia="仿宋_GB2312"/>
                <w:sz w:val="24"/>
                <w:color w:val="000000"/>
              </w:rPr>
              <w:t>人、</w:t>
            </w:r>
            <w:r>
              <w:rPr>
                <w:rFonts w:ascii="仿宋_GB2312" w:hAnsi="仿宋_GB2312" w:cs="仿宋_GB2312" w:eastAsia="仿宋_GB2312"/>
                <w:sz w:val="24"/>
                <w:color w:val="000000"/>
              </w:rPr>
              <w:t>40（含40）以上及退休女人数</w:t>
            </w:r>
            <w:r>
              <w:rPr>
                <w:rFonts w:ascii="仿宋_GB2312" w:hAnsi="仿宋_GB2312" w:cs="仿宋_GB2312" w:eastAsia="仿宋_GB2312"/>
                <w:sz w:val="24"/>
                <w:color w:val="000000"/>
              </w:rPr>
              <w:t>预计</w:t>
            </w:r>
            <w:r>
              <w:rPr>
                <w:rFonts w:ascii="仿宋_GB2312" w:hAnsi="仿宋_GB2312" w:cs="仿宋_GB2312" w:eastAsia="仿宋_GB2312"/>
                <w:sz w:val="24"/>
                <w:color w:val="000000"/>
              </w:rPr>
              <w:t>620</w:t>
            </w:r>
            <w:r>
              <w:rPr>
                <w:rFonts w:ascii="仿宋_GB2312" w:hAnsi="仿宋_GB2312" w:cs="仿宋_GB2312" w:eastAsia="仿宋_GB2312"/>
                <w:sz w:val="24"/>
                <w:color w:val="000000"/>
              </w:rPr>
              <w:t>人）</w:t>
            </w:r>
            <w:r>
              <w:rPr>
                <w:rFonts w:ascii="仿宋_GB2312" w:hAnsi="仿宋_GB2312" w:cs="仿宋_GB2312" w:eastAsia="仿宋_GB2312"/>
                <w:sz w:val="24"/>
                <w:color w:val="000000"/>
              </w:rPr>
              <w:t>，最终结算以实际体检人数为准</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二、体检套餐单价限价金额</w:t>
            </w:r>
          </w:p>
          <w:p>
            <w:pPr>
              <w:pStyle w:val="null3"/>
              <w:ind w:firstLine="480"/>
              <w:jc w:val="both"/>
            </w:pPr>
            <w:r>
              <w:rPr>
                <w:rFonts w:ascii="仿宋_GB2312" w:hAnsi="仿宋_GB2312" w:cs="仿宋_GB2312" w:eastAsia="仿宋_GB2312"/>
                <w:sz w:val="24"/>
                <w:color w:val="000000"/>
              </w:rPr>
              <w:t>本项目拟对西安邮电大学约</w:t>
            </w:r>
            <w:r>
              <w:rPr>
                <w:rFonts w:ascii="仿宋_GB2312" w:hAnsi="仿宋_GB2312" w:cs="仿宋_GB2312" w:eastAsia="仿宋_GB2312"/>
                <w:sz w:val="24"/>
                <w:color w:val="000000"/>
              </w:rPr>
              <w:t>2020名教职工体检，按照90%参检人数制定体检方案，最终根据实际体检人数进行结算，套餐限价金额如下：</w:t>
            </w:r>
          </w:p>
          <w:tbl>
            <w:tblPr>
              <w:tblBorders>
                <w:top w:val="none" w:color="000000" w:sz="4"/>
                <w:left w:val="none" w:color="000000" w:sz="4"/>
                <w:bottom w:val="none" w:color="000000" w:sz="4"/>
                <w:right w:val="none" w:color="000000" w:sz="4"/>
                <w:insideH w:val="none"/>
                <w:insideV w:val="none"/>
              </w:tblBorders>
            </w:tblPr>
            <w:tblGrid>
              <w:gridCol w:w="369"/>
              <w:gridCol w:w="971"/>
              <w:gridCol w:w="453"/>
              <w:gridCol w:w="761"/>
            </w:tblGrid>
            <w:tr>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b/>
                      <w:color w:val="000000"/>
                    </w:rPr>
                    <w:t>序号</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b/>
                      <w:color w:val="000000"/>
                    </w:rPr>
                    <w:t>体检套餐</w:t>
                  </w:r>
                </w:p>
              </w:tc>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b/>
                      <w:color w:val="000000"/>
                    </w:rPr>
                    <w:t>人数（预估）</w:t>
                  </w:r>
                </w:p>
              </w:tc>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b/>
                      <w:color w:val="000000"/>
                    </w:rPr>
                    <w:t>单价最高限价（元）</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1</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40以下男性人员体检套餐</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236</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1000.00</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2</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40以下女性人员体检套餐</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275</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1100.00</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3</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40（含40）以上及退休男性体检套餐</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650</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1100.00</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4</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40（含40）以上及退休女性体检套餐</w:t>
                  </w:r>
                </w:p>
              </w:tc>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620</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1200.00</w:t>
                  </w:r>
                </w:p>
              </w:tc>
            </w:tr>
            <w:tr>
              <w:tc>
                <w:tcPr>
                  <w:tcW w:type="dxa" w:w="179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right"/>
                  </w:pPr>
                  <w:r>
                    <w:rPr>
                      <w:rFonts w:ascii="仿宋_GB2312" w:hAnsi="仿宋_GB2312" w:cs="仿宋_GB2312" w:eastAsia="仿宋_GB2312"/>
                      <w:sz w:val="24"/>
                      <w:color w:val="000000"/>
                    </w:rPr>
                    <w:t>单价合计限价金额</w:t>
                  </w:r>
                </w:p>
              </w:tc>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4400.00</w:t>
                  </w:r>
                </w:p>
              </w:tc>
            </w:tr>
          </w:tbl>
          <w:p>
            <w:pPr>
              <w:pStyle w:val="null3"/>
              <w:numPr>
                <w:ilvl w:val="0"/>
                <w:numId w:val="1"/>
              </w:numPr>
              <w:jc w:val="both"/>
            </w:pPr>
            <w:r>
              <w:rPr>
                <w:rFonts w:ascii="仿宋_GB2312" w:hAnsi="仿宋_GB2312" w:cs="仿宋_GB2312" w:eastAsia="仿宋_GB2312"/>
                <w:sz w:val="24"/>
                <w:b/>
                <w:color w:val="000000"/>
              </w:rPr>
              <w:t>体检方案及服务要求</w:t>
            </w:r>
          </w:p>
          <w:p>
            <w:pPr>
              <w:pStyle w:val="null3"/>
              <w:ind w:firstLine="723"/>
              <w:jc w:val="both"/>
            </w:pPr>
            <w:r>
              <w:rPr>
                <w:rFonts w:ascii="仿宋_GB2312" w:hAnsi="仿宋_GB2312" w:cs="仿宋_GB2312" w:eastAsia="仿宋_GB2312"/>
                <w:sz w:val="24"/>
                <w:b/>
                <w:color w:val="000000"/>
              </w:rPr>
              <w:t>（一）体检方案</w:t>
            </w:r>
          </w:p>
          <w:tbl>
            <w:tblPr>
              <w:tblBorders>
                <w:top w:val="none" w:color="000000" w:sz="4"/>
                <w:left w:val="none" w:color="000000" w:sz="4"/>
                <w:bottom w:val="none" w:color="000000" w:sz="4"/>
                <w:right w:val="none" w:color="000000" w:sz="4"/>
                <w:insideH w:val="none"/>
                <w:insideV w:val="none"/>
              </w:tblBorders>
            </w:tblPr>
            <w:tblGrid>
              <w:gridCol w:w="174"/>
              <w:gridCol w:w="243"/>
              <w:gridCol w:w="607"/>
              <w:gridCol w:w="285"/>
              <w:gridCol w:w="234"/>
              <w:gridCol w:w="519"/>
              <w:gridCol w:w="473"/>
            </w:tblGrid>
            <w:tr>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分类</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40以下男</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40以</w:t>
                  </w:r>
                </w:p>
                <w:p>
                  <w:pPr>
                    <w:pStyle w:val="null3"/>
                    <w:jc w:val="center"/>
                  </w:pPr>
                  <w:r>
                    <w:rPr>
                      <w:rFonts w:ascii="仿宋_GB2312" w:hAnsi="仿宋_GB2312" w:cs="仿宋_GB2312" w:eastAsia="仿宋_GB2312"/>
                      <w:sz w:val="24"/>
                      <w:color w:val="000000"/>
                    </w:rPr>
                    <w:t>下女</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40（含40）以上及退休男</w:t>
                  </w:r>
                </w:p>
              </w:tc>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40（含40）以上及退休女</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基础检查</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一般检查（身高、体重、血压）</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眼科检查</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视力</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眼底检查</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眼压检查</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裂隙灯</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血液检查</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血常规五分类</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尿常规</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肝功九项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肾功四项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血脂四项</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空腹血糖</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总前列腺特异性抗原（</w:t>
                  </w:r>
                  <w:r>
                    <w:rPr>
                      <w:rFonts w:ascii="仿宋_GB2312" w:hAnsi="仿宋_GB2312" w:cs="仿宋_GB2312" w:eastAsia="仿宋_GB2312"/>
                      <w:sz w:val="24"/>
                      <w:color w:val="000000"/>
                    </w:rPr>
                    <w:t>TPSA）</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游离前列腺特异性抗原（</w:t>
                  </w:r>
                  <w:r>
                    <w:rPr>
                      <w:rFonts w:ascii="仿宋_GB2312" w:hAnsi="仿宋_GB2312" w:cs="仿宋_GB2312" w:eastAsia="仿宋_GB2312"/>
                      <w:sz w:val="24"/>
                      <w:color w:val="000000"/>
                    </w:rPr>
                    <w:t>FPSA）</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细胞角蛋白</w:t>
                  </w:r>
                  <w:r>
                    <w:rPr>
                      <w:rFonts w:ascii="仿宋_GB2312" w:hAnsi="仿宋_GB2312" w:cs="仿宋_GB2312" w:eastAsia="仿宋_GB2312"/>
                      <w:sz w:val="24"/>
                      <w:color w:val="000000"/>
                    </w:rPr>
                    <w:t>19片段</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125</w:t>
                  </w:r>
                </w:p>
              </w:tc>
              <w:tc>
                <w:tcPr>
                  <w:tcW w:type="dxa" w:w="2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153</w:t>
                  </w:r>
                </w:p>
              </w:tc>
              <w:tc>
                <w:tcPr>
                  <w:tcW w:type="dxa" w:w="2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w:t>
                  </w:r>
                  <w:r>
                    <w:rPr>
                      <w:rFonts w:ascii="仿宋_GB2312" w:hAnsi="仿宋_GB2312" w:cs="仿宋_GB2312" w:eastAsia="仿宋_GB2312"/>
                      <w:sz w:val="24"/>
                      <w:color w:val="000000"/>
                    </w:rPr>
                    <w:t>50</w:t>
                  </w:r>
                </w:p>
              </w:tc>
              <w:tc>
                <w:tcPr>
                  <w:tcW w:type="dxa" w:w="2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甲胎蛋白测定</w:t>
                  </w:r>
                  <w:r>
                    <w:rPr>
                      <w:rFonts w:ascii="仿宋_GB2312" w:hAnsi="仿宋_GB2312" w:cs="仿宋_GB2312" w:eastAsia="仿宋_GB2312"/>
                      <w:sz w:val="24"/>
                      <w:color w:val="000000"/>
                    </w:rPr>
                    <w:t>AFP</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癌胚抗原测定</w:t>
                  </w:r>
                  <w:r>
                    <w:rPr>
                      <w:rFonts w:ascii="仿宋_GB2312" w:hAnsi="仿宋_GB2312" w:cs="仿宋_GB2312" w:eastAsia="仿宋_GB2312"/>
                      <w:sz w:val="24"/>
                      <w:color w:val="000000"/>
                    </w:rPr>
                    <w:t>CEA</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超声检查</w:t>
                  </w: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腹部</w:t>
                  </w:r>
                  <w:r>
                    <w:rPr>
                      <w:rFonts w:ascii="仿宋_GB2312" w:hAnsi="仿宋_GB2312" w:cs="仿宋_GB2312" w:eastAsia="仿宋_GB2312"/>
                      <w:sz w:val="24"/>
                      <w:color w:val="000000"/>
                    </w:rPr>
                    <w:t>B超 （肝胆胰脾）</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泌尿系彩色超声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甲状腺及颈部淋巴结彩色多普勒</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腹部</w:t>
                  </w:r>
                  <w:r>
                    <w:rPr>
                      <w:rFonts w:ascii="仿宋_GB2312" w:hAnsi="仿宋_GB2312" w:cs="仿宋_GB2312" w:eastAsia="仿宋_GB2312"/>
                      <w:sz w:val="24"/>
                      <w:color w:val="000000"/>
                    </w:rPr>
                    <w:t>B超 （肝胆胰脾、双肾）</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妇科彩色超声</w:t>
                  </w:r>
                </w:p>
              </w:tc>
              <w:tc>
                <w:tcPr>
                  <w:tcW w:type="dxa" w:w="28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乳腺及引流淋巴结超声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颈部血管超声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CT</w:t>
                  </w: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w:t>
                  </w:r>
                  <w:r>
                    <w:rPr>
                      <w:rFonts w:ascii="仿宋_GB2312" w:hAnsi="仿宋_GB2312" w:cs="仿宋_GB2312" w:eastAsia="仿宋_GB2312"/>
                      <w:sz w:val="24"/>
                      <w:color w:val="000000"/>
                    </w:rPr>
                    <w:t>CT</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功能检查</w:t>
                  </w:r>
                </w:p>
              </w:tc>
              <w:tc>
                <w:tcPr>
                  <w:tcW w:type="dxa" w:w="6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心电图</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妇科检查</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妇科检查</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阴道分泌物常规（白带常规）</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243"/>
                  <w:vMerge/>
                  <w:tcBorders>
                    <w:top w:val="none" w:color="000000" w:sz="4"/>
                    <w:left w:val="single" w:color="000000" w:sz="4"/>
                    <w:bottom w:val="single" w:color="000000" w:sz="4"/>
                    <w:right w:val="single" w:color="000000" w:sz="4"/>
                  </w:tcBorders>
                </w:tcP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TCT</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8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6项加项包</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bl>
          <w:p>
            <w:pPr>
              <w:pStyle w:val="null3"/>
              <w:ind w:firstLine="160"/>
              <w:jc w:val="both"/>
            </w:pPr>
            <w:r>
              <w:rPr>
                <w:rFonts w:ascii="仿宋_GB2312" w:hAnsi="仿宋_GB2312" w:cs="仿宋_GB2312" w:eastAsia="仿宋_GB2312"/>
                <w:sz w:val="24"/>
                <w:color w:val="000000"/>
              </w:rPr>
              <w:t>加项包体检内容如下：</w:t>
            </w:r>
          </w:p>
          <w:tbl>
            <w:tblPr>
              <w:tblBorders>
                <w:top w:val="none" w:color="000000" w:sz="4"/>
                <w:left w:val="none" w:color="000000" w:sz="4"/>
                <w:bottom w:val="none" w:color="000000" w:sz="4"/>
                <w:right w:val="none" w:color="000000" w:sz="4"/>
                <w:insideH w:val="none"/>
                <w:insideV w:val="none"/>
              </w:tblBorders>
            </w:tblPr>
            <w:tblGrid>
              <w:gridCol w:w="448"/>
              <w:gridCol w:w="1075"/>
              <w:gridCol w:w="1029"/>
            </w:tblGrid>
            <w:tr>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b/>
                      <w:color w:val="000000"/>
                    </w:rPr>
                    <w:t>序号</w:t>
                  </w:r>
                </w:p>
              </w:tc>
              <w:tc>
                <w:tcPr>
                  <w:tcW w:type="dxa" w:w="1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b/>
                      <w:color w:val="000000"/>
                    </w:rPr>
                    <w:t>加项名称</w:t>
                  </w:r>
                </w:p>
              </w:tc>
              <w:tc>
                <w:tcPr>
                  <w:tcW w:type="dxa" w:w="10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b/>
                      <w:color w:val="000000"/>
                    </w:rPr>
                    <w:t>体检内容</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1</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A加项包</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甲功五项</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2</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B加项包</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心脏超声</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3</w:t>
                  </w:r>
                </w:p>
              </w:tc>
              <w:tc>
                <w:tcPr>
                  <w:tcW w:type="dxa" w:w="1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C加项包</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颈部血管超声</w:t>
                  </w:r>
                </w:p>
              </w:tc>
            </w:tr>
            <w:tr>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4</w:t>
                  </w:r>
                </w:p>
              </w:tc>
              <w:tc>
                <w:tcPr>
                  <w:tcW w:type="dxa" w:w="10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D加项包</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动脉硬化</w:t>
                  </w:r>
                </w:p>
              </w:tc>
            </w:tr>
            <w:tr>
              <w:tc>
                <w:tcPr>
                  <w:tcW w:type="dxa" w:w="448"/>
                  <w:vMerge/>
                  <w:tcBorders>
                    <w:top w:val="none" w:color="000000" w:sz="4"/>
                    <w:left w:val="single" w:color="000000" w:sz="4"/>
                    <w:bottom w:val="single" w:color="000000" w:sz="4"/>
                    <w:right w:val="single" w:color="000000" w:sz="4"/>
                  </w:tcBorders>
                </w:tcPr>
                <w:p/>
              </w:tc>
              <w:tc>
                <w:tcPr>
                  <w:tcW w:type="dxa" w:w="1075"/>
                  <w:vMerge/>
                  <w:tcBorders>
                    <w:top w:val="none" w:color="000000" w:sz="4"/>
                    <w:left w:val="single" w:color="000000" w:sz="4"/>
                    <w:bottom w:val="single" w:color="000000" w:sz="4"/>
                    <w:right w:val="single" w:color="000000" w:sz="4"/>
                  </w:tcBorders>
                </w:tcP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同型半胱氨酸</w:t>
                  </w:r>
                </w:p>
              </w:tc>
            </w:tr>
            <w:tr>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5</w:t>
                  </w:r>
                </w:p>
              </w:tc>
              <w:tc>
                <w:tcPr>
                  <w:tcW w:type="dxa" w:w="10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E加项包</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碳</w:t>
                  </w:r>
                  <w:r>
                    <w:rPr>
                      <w:rFonts w:ascii="仿宋_GB2312" w:hAnsi="仿宋_GB2312" w:cs="仿宋_GB2312" w:eastAsia="仿宋_GB2312"/>
                      <w:sz w:val="24"/>
                      <w:color w:val="000000"/>
                    </w:rPr>
                    <w:t>13</w:t>
                  </w:r>
                </w:p>
              </w:tc>
            </w:tr>
            <w:tr>
              <w:tc>
                <w:tcPr>
                  <w:tcW w:type="dxa" w:w="448"/>
                  <w:vMerge/>
                  <w:tcBorders>
                    <w:top w:val="none" w:color="000000" w:sz="4"/>
                    <w:left w:val="single" w:color="000000" w:sz="4"/>
                    <w:bottom w:val="single" w:color="000000" w:sz="4"/>
                    <w:right w:val="single" w:color="000000" w:sz="4"/>
                  </w:tcBorders>
                </w:tcPr>
                <w:p/>
              </w:tc>
              <w:tc>
                <w:tcPr>
                  <w:tcW w:type="dxa" w:w="1075"/>
                  <w:vMerge/>
                  <w:tcBorders>
                    <w:top w:val="none" w:color="000000" w:sz="4"/>
                    <w:left w:val="single" w:color="000000" w:sz="4"/>
                    <w:bottom w:val="single" w:color="000000" w:sz="4"/>
                    <w:right w:val="single" w:color="000000" w:sz="4"/>
                  </w:tcBorders>
                </w:tcP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脑血流（</w:t>
                  </w:r>
                  <w:r>
                    <w:rPr>
                      <w:rFonts w:ascii="仿宋_GB2312" w:hAnsi="仿宋_GB2312" w:cs="仿宋_GB2312" w:eastAsia="仿宋_GB2312"/>
                      <w:sz w:val="24"/>
                      <w:color w:val="000000"/>
                    </w:rPr>
                    <w:t>TCD）</w:t>
                  </w:r>
                </w:p>
              </w:tc>
            </w:tr>
            <w:tr>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6</w:t>
                  </w:r>
                </w:p>
              </w:tc>
              <w:tc>
                <w:tcPr>
                  <w:tcW w:type="dxa" w:w="10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F加项包</w:t>
                  </w: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颈椎正侧位片</w:t>
                  </w:r>
                </w:p>
              </w:tc>
            </w:tr>
            <w:tr>
              <w:tc>
                <w:tcPr>
                  <w:tcW w:type="dxa" w:w="448"/>
                  <w:vMerge/>
                  <w:tcBorders>
                    <w:top w:val="none" w:color="000000" w:sz="4"/>
                    <w:left w:val="single" w:color="000000" w:sz="4"/>
                    <w:bottom w:val="single" w:color="000000" w:sz="4"/>
                    <w:right w:val="single" w:color="000000" w:sz="4"/>
                  </w:tcBorders>
                </w:tcPr>
                <w:p/>
              </w:tc>
              <w:tc>
                <w:tcPr>
                  <w:tcW w:type="dxa" w:w="1075"/>
                  <w:vMerge/>
                  <w:tcBorders>
                    <w:top w:val="none" w:color="000000" w:sz="4"/>
                    <w:left w:val="single" w:color="000000" w:sz="4"/>
                    <w:bottom w:val="single" w:color="000000" w:sz="4"/>
                    <w:right w:val="single" w:color="000000" w:sz="4"/>
                  </w:tcBorders>
                </w:tcP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腰椎正侧位片</w:t>
                  </w:r>
                </w:p>
              </w:tc>
            </w:tr>
            <w:tr>
              <w:tc>
                <w:tcPr>
                  <w:tcW w:type="dxa" w:w="448"/>
                  <w:vMerge/>
                  <w:tcBorders>
                    <w:top w:val="none" w:color="000000" w:sz="4"/>
                    <w:left w:val="single" w:color="000000" w:sz="4"/>
                    <w:bottom w:val="single" w:color="000000" w:sz="4"/>
                    <w:right w:val="single" w:color="000000" w:sz="4"/>
                  </w:tcBorders>
                </w:tcPr>
                <w:p/>
              </w:tc>
              <w:tc>
                <w:tcPr>
                  <w:tcW w:type="dxa" w:w="1075"/>
                  <w:vMerge/>
                  <w:tcBorders>
                    <w:top w:val="none" w:color="000000" w:sz="4"/>
                    <w:left w:val="single" w:color="000000" w:sz="4"/>
                    <w:bottom w:val="single" w:color="000000" w:sz="4"/>
                    <w:right w:val="single" w:color="000000" w:sz="4"/>
                  </w:tcBorders>
                </w:tcPr>
                <w:p/>
              </w:tc>
              <w:tc>
                <w:tcPr>
                  <w:tcW w:type="dxa" w:w="10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lineRule="auto" w:line="360"/>
                    <w:jc w:val="center"/>
                  </w:pPr>
                  <w:r>
                    <w:rPr>
                      <w:rFonts w:ascii="仿宋_GB2312" w:hAnsi="仿宋_GB2312" w:cs="仿宋_GB2312" w:eastAsia="仿宋_GB2312"/>
                      <w:sz w:val="24"/>
                      <w:color w:val="000000"/>
                    </w:rPr>
                    <w:t>脑血流（</w:t>
                  </w:r>
                  <w:r>
                    <w:rPr>
                      <w:rFonts w:ascii="仿宋_GB2312" w:hAnsi="仿宋_GB2312" w:cs="仿宋_GB2312" w:eastAsia="仿宋_GB2312"/>
                      <w:sz w:val="24"/>
                      <w:color w:val="000000"/>
                    </w:rPr>
                    <w:t>TCD）</w:t>
                  </w:r>
                </w:p>
              </w:tc>
            </w:tr>
          </w:tbl>
          <w:p>
            <w:pPr>
              <w:pStyle w:val="null3"/>
              <w:ind w:firstLine="482"/>
              <w:jc w:val="both"/>
            </w:pPr>
            <w:r>
              <w:rPr>
                <w:rFonts w:ascii="仿宋_GB2312" w:hAnsi="仿宋_GB2312" w:cs="仿宋_GB2312" w:eastAsia="仿宋_GB2312"/>
                <w:sz w:val="24"/>
                <w:b/>
                <w:color w:val="000000"/>
              </w:rPr>
              <w:t>备注：</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1）供应商应为采购人提供科学合理的体检套餐，分别为：</w:t>
            </w:r>
          </w:p>
          <w:p>
            <w:pPr>
              <w:pStyle w:val="null3"/>
              <w:ind w:firstLine="482"/>
              <w:jc w:val="both"/>
            </w:pPr>
            <w:r>
              <w:rPr>
                <w:rFonts w:ascii="仿宋_GB2312" w:hAnsi="仿宋_GB2312" w:cs="仿宋_GB2312" w:eastAsia="仿宋_GB2312"/>
                <w:sz w:val="24"/>
                <w:b/>
                <w:color w:val="000000"/>
              </w:rPr>
              <w:t>A.40以下男性人员体检套餐；</w:t>
            </w:r>
          </w:p>
          <w:p>
            <w:pPr>
              <w:pStyle w:val="null3"/>
              <w:ind w:firstLine="482"/>
              <w:jc w:val="both"/>
            </w:pPr>
            <w:r>
              <w:rPr>
                <w:rFonts w:ascii="仿宋_GB2312" w:hAnsi="仿宋_GB2312" w:cs="仿宋_GB2312" w:eastAsia="仿宋_GB2312"/>
                <w:sz w:val="24"/>
                <w:b/>
                <w:color w:val="000000"/>
              </w:rPr>
              <w:t>B.40以下女性人员体检套餐；</w:t>
            </w:r>
          </w:p>
          <w:p>
            <w:pPr>
              <w:pStyle w:val="null3"/>
              <w:ind w:firstLine="482"/>
              <w:jc w:val="both"/>
            </w:pPr>
            <w:r>
              <w:rPr>
                <w:rFonts w:ascii="仿宋_GB2312" w:hAnsi="仿宋_GB2312" w:cs="仿宋_GB2312" w:eastAsia="仿宋_GB2312"/>
                <w:sz w:val="24"/>
                <w:b/>
                <w:color w:val="000000"/>
              </w:rPr>
              <w:t>C.40（含40）以上及退休男性体检套餐；</w:t>
            </w:r>
          </w:p>
          <w:p>
            <w:pPr>
              <w:pStyle w:val="null3"/>
              <w:ind w:firstLine="482"/>
              <w:jc w:val="both"/>
            </w:pPr>
            <w:r>
              <w:rPr>
                <w:rFonts w:ascii="仿宋_GB2312" w:hAnsi="仿宋_GB2312" w:cs="仿宋_GB2312" w:eastAsia="仿宋_GB2312"/>
                <w:sz w:val="24"/>
                <w:b/>
                <w:color w:val="000000"/>
              </w:rPr>
              <w:t>D.40（含40）以上及退休女性体检套餐。</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体检方案列明的体检项为基础体检项目清单，以上列明基础体检项及加项包体检内容须包含在体检项范围内，各供应商不得擅自删减，供应商可结合企业自身情况进行增项。</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采购人参检人员将结合自身健康状况及实际需求，自主选择其中任意一项加项包进行加项体检，相关费用包含在响应报价中，采购人及参检人员均不再另行支付。</w:t>
            </w:r>
          </w:p>
          <w:p>
            <w:pPr>
              <w:pStyle w:val="null3"/>
              <w:ind w:firstLine="482"/>
              <w:jc w:val="both"/>
            </w:pPr>
            <w:r>
              <w:rPr>
                <w:rFonts w:ascii="仿宋_GB2312" w:hAnsi="仿宋_GB2312" w:cs="仿宋_GB2312" w:eastAsia="仿宋_GB2312"/>
                <w:sz w:val="24"/>
                <w:b/>
                <w:color w:val="000000"/>
              </w:rPr>
              <w:t>（二）服务要求</w:t>
            </w:r>
          </w:p>
          <w:p>
            <w:pPr>
              <w:pStyle w:val="null3"/>
              <w:ind w:firstLine="480"/>
              <w:jc w:val="both"/>
            </w:pPr>
            <w:r>
              <w:rPr>
                <w:rFonts w:ascii="仿宋_GB2312" w:hAnsi="仿宋_GB2312" w:cs="仿宋_GB2312" w:eastAsia="仿宋_GB2312"/>
                <w:sz w:val="24"/>
                <w:color w:val="000000"/>
              </w:rPr>
              <w:t>1.由采购人集中安排体检期间，为保证体检质量，供应商日接待量应不超过300人次。</w:t>
            </w:r>
          </w:p>
          <w:p>
            <w:pPr>
              <w:pStyle w:val="null3"/>
              <w:ind w:firstLine="480"/>
              <w:jc w:val="both"/>
            </w:pPr>
            <w:r>
              <w:rPr>
                <w:rFonts w:ascii="仿宋_GB2312" w:hAnsi="仿宋_GB2312" w:cs="仿宋_GB2312" w:eastAsia="仿宋_GB2312"/>
                <w:sz w:val="24"/>
                <w:color w:val="000000"/>
              </w:rPr>
              <w:t>2.供应商全程提供车接车送服务（人员集中时）。</w:t>
            </w:r>
          </w:p>
          <w:p>
            <w:pPr>
              <w:pStyle w:val="null3"/>
              <w:ind w:firstLine="480"/>
              <w:jc w:val="both"/>
            </w:pPr>
            <w:r>
              <w:rPr>
                <w:rFonts w:ascii="仿宋_GB2312" w:hAnsi="仿宋_GB2312" w:cs="仿宋_GB2312" w:eastAsia="仿宋_GB2312"/>
                <w:sz w:val="24"/>
                <w:color w:val="000000"/>
              </w:rPr>
              <w:t>3供应商提供营养早餐：按人群特点提供不同的营养早餐。</w:t>
            </w:r>
          </w:p>
          <w:p>
            <w:pPr>
              <w:pStyle w:val="null3"/>
              <w:ind w:firstLine="480"/>
              <w:jc w:val="both"/>
            </w:pPr>
            <w:r>
              <w:rPr>
                <w:rFonts w:ascii="仿宋_GB2312" w:hAnsi="仿宋_GB2312" w:cs="仿宋_GB2312" w:eastAsia="仿宋_GB2312"/>
                <w:sz w:val="24"/>
                <w:color w:val="000000"/>
              </w:rPr>
              <w:t>4.健康分析报告：包括员工整体健康分析、亚健康状态主要特点、疾病风险预警等。</w:t>
            </w:r>
          </w:p>
          <w:p>
            <w:pPr>
              <w:pStyle w:val="null3"/>
              <w:ind w:firstLine="480"/>
              <w:jc w:val="both"/>
            </w:pPr>
            <w:r>
              <w:rPr>
                <w:rFonts w:ascii="仿宋_GB2312" w:hAnsi="仿宋_GB2312" w:cs="仿宋_GB2312" w:eastAsia="仿宋_GB2312"/>
                <w:sz w:val="24"/>
                <w:color w:val="000000"/>
              </w:rPr>
              <w:t>5.体检报告讲解：可以提供客服专家上门，面对面为每位员工讲解检查结果及健康建议。</w:t>
            </w:r>
          </w:p>
          <w:p>
            <w:pPr>
              <w:pStyle w:val="null3"/>
              <w:ind w:firstLine="480"/>
              <w:jc w:val="both"/>
            </w:pPr>
            <w:r>
              <w:rPr>
                <w:rFonts w:ascii="仿宋_GB2312" w:hAnsi="仿宋_GB2312" w:cs="仿宋_GB2312" w:eastAsia="仿宋_GB2312"/>
                <w:sz w:val="24"/>
                <w:color w:val="000000"/>
              </w:rPr>
              <w:t>6.健康咨询：随时拨打健康咨询电话，提供健康建议及指导。</w:t>
            </w:r>
          </w:p>
          <w:p>
            <w:pPr>
              <w:pStyle w:val="null3"/>
              <w:ind w:firstLine="480"/>
              <w:jc w:val="both"/>
            </w:pPr>
            <w:r>
              <w:rPr>
                <w:rFonts w:ascii="仿宋_GB2312" w:hAnsi="仿宋_GB2312" w:cs="仿宋_GB2312" w:eastAsia="仿宋_GB2312"/>
                <w:sz w:val="24"/>
                <w:color w:val="000000"/>
              </w:rPr>
              <w:t>7.健康讲座：提供免费的系列健康知识讲座。</w:t>
            </w:r>
          </w:p>
          <w:p>
            <w:pPr>
              <w:pStyle w:val="null3"/>
              <w:ind w:firstLine="480"/>
              <w:jc w:val="both"/>
            </w:pPr>
            <w:r>
              <w:rPr>
                <w:rFonts w:ascii="仿宋_GB2312" w:hAnsi="仿宋_GB2312" w:cs="仿宋_GB2312" w:eastAsia="仿宋_GB2312"/>
                <w:sz w:val="24"/>
                <w:color w:val="000000"/>
              </w:rPr>
              <w:t>8.网上查询：体检后供应商可根据给每个人的提供的网址、代码及密码可在网上进行体检报告的查询，且永久保存。</w:t>
            </w:r>
          </w:p>
          <w:p>
            <w:pPr>
              <w:pStyle w:val="null3"/>
              <w:ind w:firstLine="480"/>
              <w:jc w:val="both"/>
            </w:pPr>
            <w:r>
              <w:rPr>
                <w:rFonts w:ascii="仿宋_GB2312" w:hAnsi="仿宋_GB2312" w:cs="仿宋_GB2312" w:eastAsia="仿宋_GB2312"/>
                <w:sz w:val="24"/>
                <w:color w:val="000000"/>
              </w:rPr>
              <w:t>9.后续重点维护：对重大疾病，由专家及时通知单位（负责体检工作）与本人并给出及时合理的治疗或复检建议，可与各大医院建立绿色通道为就医提供方便快捷的服务措施。</w:t>
            </w:r>
          </w:p>
          <w:p>
            <w:pPr>
              <w:pStyle w:val="null3"/>
              <w:ind w:firstLine="480"/>
              <w:jc w:val="both"/>
            </w:pPr>
            <w:r>
              <w:rPr>
                <w:rFonts w:ascii="仿宋_GB2312" w:hAnsi="仿宋_GB2312" w:cs="仿宋_GB2312" w:eastAsia="仿宋_GB2312"/>
                <w:sz w:val="24"/>
                <w:color w:val="000000"/>
              </w:rPr>
              <w:t>10.提供其他医疗服务：如提供远程医疗会诊、国内各大医院专家挂号就诊、家庭医生上门服务、其他康复治疗等。</w:t>
            </w:r>
          </w:p>
          <w:p>
            <w:pPr>
              <w:pStyle w:val="null3"/>
              <w:jc w:val="both"/>
            </w:pPr>
            <w:r>
              <w:rPr>
                <w:rFonts w:ascii="仿宋_GB2312" w:hAnsi="仿宋_GB2312" w:cs="仿宋_GB2312" w:eastAsia="仿宋_GB2312"/>
                <w:sz w:val="24"/>
                <w:color w:val="000000"/>
              </w:rPr>
              <w:t>11.注重“体重管理”指标监测，对“体重管理”指标异常的情况在体检报告中提醒提示，提出健康管理方案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以供应商提供的服务地点为准。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体检服务完成后采购人向成交供应商一次性付款，采购人最终付款金额根据套餐成交单价及采购人实际体检人数进行据实结算，采购人付款总额不超过预算200万元。采购人向成交供应商付款前，成交供应商应向采购人开具符合采购人要求的发票，若因成交供应商未开具或逾期开具合法有效的发票，采购人有权顺延付款期限且不承担逾期付款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响应保证金注意事项：（1）响应保证金须从供应商户名支付，如从个人户名或非供应商户名支付，将被拒绝，视为自动放弃投标权利（该个人是供应商的情形除外）；响应保证金缴纳时间：开标时间之前；以保函形式交纳响应保证金的，供应商应在投标截止时间前将保函扫描成清晰的PDF文件，发送至邮箱2973608682@qq.com（邮件命名：项目名称+项目编号）；供应商应在响应文件中附保函复印件。保函必须由具有开具投标保函资格的单位开具；若供应商违约，开具保函单位承担连带责任；（2）响应保证金的提交金额、时间不满足磋商文件要求的，投标无效；（3）供应商未按指定账户提交响应保证金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本项目不专门面向中小企业采购</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5）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供应商为向采购人提供相关服务的法人或其他组织；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信用资格要求</w:t>
            </w:r>
          </w:p>
        </w:tc>
        <w:tc>
          <w:tcPr>
            <w:tcW w:type="dxa" w:w="3322"/>
          </w:tcPr>
          <w:p>
            <w:pPr>
              <w:pStyle w:val="null3"/>
            </w:pPr>
            <w:r>
              <w:rPr>
                <w:rFonts w:ascii="仿宋_GB2312" w:hAnsi="仿宋_GB2312" w:cs="仿宋_GB2312" w:eastAsia="仿宋_GB2312"/>
              </w:rPr>
              <w:t>截止至响应文件递交截止时间之前，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供应商应为三级医疗机构，同时具备合法有效的《医疗机构执业许可证》及《放射诊疗许可证》</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分项报价清单.docx 服务开展的组织措施及制度.docx 中小企业声明函 商务应答表 服务质量的保障措施.docx 报价表 整体服务的思路及要点.docx 服务开展的流程及规范.docx 响应文件封面 项目配套服务设备.docx 增值服务.docx 体检套餐方案.docx 残疾人福利性单位声明函 标的清单 应急事件响应及处理.docx 资格证明材料.docx 法定代表人或合法授权代表证明.docx 响应函 服务团队配备情况.docx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分项报价清单.docx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分项报价清单.docx 服务开展的组织措施及制度.docx 中小企业声明函 商务应答表 服务质量的保障措施.docx 报价表 整体服务的思路及要点.docx 服务开展的流程及规范.docx 响应文件封面 项目配套服务设备.docx 增值服务.docx 体检套餐方案.docx 残疾人福利性单位声明函 标的清单 应急事件响应及处理.docx 资格证明材料.docx 法定代表人或合法授权代表证明.docx 响应函 服务团队配备情况.docx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分项报价清单.docx 服务开展的组织措施及制度.docx 中小企业声明函 商务应答表 服务质量的保障措施.docx 报价表 整体服务的思路及要点.docx 服务开展的流程及规范.docx 响应文件封面 项目配套服务设备.docx 增值服务.docx 体检套餐方案.docx 残疾人福利性单位声明函 标的清单 应急事件响应及处理.docx 资格证明材料.docx 法定代表人或合法授权代表证明.docx 响应函 服务团队配备情况.docx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法定代表人或合法授权代表证明.docx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整体服务的思路及要点</w:t>
            </w:r>
          </w:p>
        </w:tc>
        <w:tc>
          <w:tcPr>
            <w:tcW w:type="dxa" w:w="2492"/>
          </w:tcPr>
          <w:p>
            <w:pPr>
              <w:pStyle w:val="null3"/>
            </w:pPr>
            <w:r>
              <w:rPr>
                <w:rFonts w:ascii="仿宋_GB2312" w:hAnsi="仿宋_GB2312" w:cs="仿宋_GB2312" w:eastAsia="仿宋_GB2312"/>
              </w:rPr>
              <w:t>供应商提供的整体服务的思路及要点需包含①体检时间安排；②体检流程；③体检项目方案（A 40以下男体检套餐+B 40以下女体检套餐+C 40（含40）以上及退休男体检套餐+40（含40）以上及退休女体检套餐）④体检报告（包含体检报告讲解、网上查询等）；⑤健康咨询及健康讲座，共5项内容，每项满分3分，总分15分。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整体服务的思路及要点.docx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核心环节质量管控措施（包含一对一咨询服务、上门检前、检后健康讲座）；②整改机制；③完善的售后服务体系，④服务保障方案（包括管理制度及投诉处理措施、补救措施等）共4项内容，每项满分3分，总分12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服务质量的保障措施.docx</w:t>
            </w:r>
          </w:p>
        </w:tc>
      </w:tr>
      <w:tr>
        <w:tc>
          <w:tcPr>
            <w:tcW w:type="dxa" w:w="831"/>
            <w:vMerge/>
          </w:tcPr>
          <w:p/>
        </w:tc>
        <w:tc>
          <w:tcPr>
            <w:tcW w:type="dxa" w:w="1661"/>
          </w:tcPr>
          <w:p>
            <w:pPr>
              <w:pStyle w:val="null3"/>
            </w:pPr>
            <w:r>
              <w:rPr>
                <w:rFonts w:ascii="仿宋_GB2312" w:hAnsi="仿宋_GB2312" w:cs="仿宋_GB2312" w:eastAsia="仿宋_GB2312"/>
              </w:rPr>
              <w:t>服务开展的流程及规范</w:t>
            </w:r>
          </w:p>
        </w:tc>
        <w:tc>
          <w:tcPr>
            <w:tcW w:type="dxa" w:w="2492"/>
          </w:tcPr>
          <w:p>
            <w:pPr>
              <w:pStyle w:val="null3"/>
            </w:pPr>
            <w:r>
              <w:rPr>
                <w:rFonts w:ascii="仿宋_GB2312" w:hAnsi="仿宋_GB2312" w:cs="仿宋_GB2312" w:eastAsia="仿宋_GB2312"/>
              </w:rPr>
              <w:t>供应商提供的服务开展的流程及规范方案需包含①服务流程及实施；②各环节衔接保障措施；③内外部沟通协调机制，共3项内容，每项满分3分，总分9分。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服务开展的流程及规范.docx</w:t>
            </w:r>
          </w:p>
        </w:tc>
      </w:tr>
      <w:tr>
        <w:tc>
          <w:tcPr>
            <w:tcW w:type="dxa" w:w="831"/>
            <w:vMerge/>
          </w:tcPr>
          <w:p/>
        </w:tc>
        <w:tc>
          <w:tcPr>
            <w:tcW w:type="dxa" w:w="1661"/>
          </w:tcPr>
          <w:p>
            <w:pPr>
              <w:pStyle w:val="null3"/>
            </w:pPr>
            <w:r>
              <w:rPr>
                <w:rFonts w:ascii="仿宋_GB2312" w:hAnsi="仿宋_GB2312" w:cs="仿宋_GB2312" w:eastAsia="仿宋_GB2312"/>
              </w:rPr>
              <w:t>服务团队配备情况1</w:t>
            </w:r>
          </w:p>
        </w:tc>
        <w:tc>
          <w:tcPr>
            <w:tcW w:type="dxa" w:w="2492"/>
          </w:tcPr>
          <w:p>
            <w:pPr>
              <w:pStyle w:val="null3"/>
            </w:pPr>
            <w:r>
              <w:rPr>
                <w:rFonts w:ascii="仿宋_GB2312" w:hAnsi="仿宋_GB2312" w:cs="仿宋_GB2312" w:eastAsia="仿宋_GB2312"/>
              </w:rPr>
              <w:t>1.供应商提供的服务团队配备情况需包含①人员配置情况表及核心成员具备的同类项目服务经验（人员数量、经验、年龄等）；②各流程节点岗位职责划分及岗位管理机制，共2项内容，每项满分3分，总分6分。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服务团队配备情况2</w:t>
            </w:r>
          </w:p>
        </w:tc>
        <w:tc>
          <w:tcPr>
            <w:tcW w:type="dxa" w:w="2492"/>
          </w:tcPr>
          <w:p>
            <w:pPr>
              <w:pStyle w:val="null3"/>
            </w:pPr>
            <w:r>
              <w:rPr>
                <w:rFonts w:ascii="仿宋_GB2312" w:hAnsi="仿宋_GB2312" w:cs="仿宋_GB2312" w:eastAsia="仿宋_GB2312"/>
              </w:rPr>
              <w:t>2.供应商提供的医师团队名单中每有一位具有高级职称及以上的加0.5分，最多加3分； 评审依据：提供相应人员的最高职称证书复印件或扫描件，提供多个职称证明材料的，以最高职称材料为准，未提供的不得分。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服务团队配备情况.docx</w:t>
            </w:r>
          </w:p>
        </w:tc>
      </w:tr>
      <w:tr>
        <w:tc>
          <w:tcPr>
            <w:tcW w:type="dxa" w:w="831"/>
            <w:vMerge/>
          </w:tcPr>
          <w:p/>
        </w:tc>
        <w:tc>
          <w:tcPr>
            <w:tcW w:type="dxa" w:w="1661"/>
          </w:tcPr>
          <w:p>
            <w:pPr>
              <w:pStyle w:val="null3"/>
            </w:pPr>
            <w:r>
              <w:rPr>
                <w:rFonts w:ascii="仿宋_GB2312" w:hAnsi="仿宋_GB2312" w:cs="仿宋_GB2312" w:eastAsia="仿宋_GB2312"/>
              </w:rPr>
              <w:t>服务开展的组织措施及制度</w:t>
            </w:r>
          </w:p>
        </w:tc>
        <w:tc>
          <w:tcPr>
            <w:tcW w:type="dxa" w:w="2492"/>
          </w:tcPr>
          <w:p>
            <w:pPr>
              <w:pStyle w:val="null3"/>
            </w:pPr>
            <w:r>
              <w:rPr>
                <w:rFonts w:ascii="仿宋_GB2312" w:hAnsi="仿宋_GB2312" w:cs="仿宋_GB2312" w:eastAsia="仿宋_GB2312"/>
              </w:rPr>
              <w:t>供应商提供的服务开展的组织措施及制度方案需包含①组织机构方案；②有关管理制度；③应急保障方案，共3项内容，每项满分3分，总分9分。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服务开展的组织措施及制度.docx</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供应商提供的项目配套服务设备需包含①医疗检测设备管理制度；②医疗检测设备投入方案；③医疗检测设备安全防护措施。④医疗检测设备操作规程，共4项内容，每项满分3分，总分12分。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项目配套服务设备.docx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供应商提供的应急事件响应及处理需包含①突发情况方案；②医疗事故方案；③应急处理措施；④预案实施与监督，共4项内容，每项满3分，总分12分。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根据投标人提供的针对本项目的增值服务进行评审，每提供一条合理、有针对性的增值服务的得1分，最多得2分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供应商提供2023年3月1日至今类似业绩证明材料，每提供1项有效业绩证明材料的计2分，满分为10分； 备注：业绩证明材料以合同的复印件或扫描件加盖公章为准，时间以合同签订时间为准，业绩证明材料不符合要求的不得分。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得分采用低价优先法计算，即满足磋商文件要求且最后报价最低（40以下男单价报价+40以下女性单价报价+40（含40）以上及退休男单价报价+40（含40）以上及退休女报价之和）的作为评审基准价，其价格分为满分。其他供应商的价格分统一按照下列公式计算：磋商报价得分=【评审基准价/最后报价】×10。 重要说明： 评审时以供应商所填报的“40以下男体检套餐单价响应金额+40以下女体检套餐单价响应金额+40（含40）以上及退休男体检套餐单价响应金额+40（含40）以上及退休女体检套餐单价响应金额”之和参与价格分的评审； 2.本项目体检套餐采购单价限价为： （1）40以下男体检套餐单价限价为人民币1000元/人/次； （2）40以下女体检套餐单价限价为人民币1100元/人/次； （3）40（含40）以上及退休男体检套餐单价限价为人民币1100元/人/次； （4）40（含40）以上及退休女体检套餐单价限价为人民币1200元/人/次。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详见附件：法定代表人或合法授权代表证明.docx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详见附件：服务开展的流程及规范.docx</w:t>
      </w:r>
    </w:p>
    <w:p>
      <w:pPr>
        <w:pStyle w:val="null3"/>
        <w:ind w:firstLine="960"/>
      </w:pPr>
      <w:r>
        <w:rPr>
          <w:rFonts w:ascii="仿宋_GB2312" w:hAnsi="仿宋_GB2312" w:cs="仿宋_GB2312" w:eastAsia="仿宋_GB2312"/>
        </w:rPr>
        <w:t>详见附件：服务开展的组织措施及制度.docx</w:t>
      </w:r>
    </w:p>
    <w:p>
      <w:pPr>
        <w:pStyle w:val="null3"/>
        <w:ind w:firstLine="960"/>
      </w:pPr>
      <w:r>
        <w:rPr>
          <w:rFonts w:ascii="仿宋_GB2312" w:hAnsi="仿宋_GB2312" w:cs="仿宋_GB2312" w:eastAsia="仿宋_GB2312"/>
        </w:rPr>
        <w:t>详见附件：服务团队配备情况.docx</w:t>
      </w:r>
    </w:p>
    <w:p>
      <w:pPr>
        <w:pStyle w:val="null3"/>
        <w:ind w:firstLine="960"/>
      </w:pPr>
      <w:r>
        <w:rPr>
          <w:rFonts w:ascii="仿宋_GB2312" w:hAnsi="仿宋_GB2312" w:cs="仿宋_GB2312" w:eastAsia="仿宋_GB2312"/>
        </w:rPr>
        <w:t>详见附件：服务质量的保障措施.docx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详见附件：体检套餐方案.docx</w:t>
      </w:r>
    </w:p>
    <w:p>
      <w:pPr>
        <w:pStyle w:val="null3"/>
        <w:ind w:firstLine="960"/>
      </w:pPr>
      <w:r>
        <w:rPr>
          <w:rFonts w:ascii="仿宋_GB2312" w:hAnsi="仿宋_GB2312" w:cs="仿宋_GB2312" w:eastAsia="仿宋_GB2312"/>
        </w:rPr>
        <w:t>详见附件：项目配套服务设备.docx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详见附件：整体服务的思路及要点.docx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