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版本号：SZB-2026-013-0120260328001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2026丝路（陕西）国际地理标志产品交易大会——地理标志展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SZB-2026-013-01</w:t>
      </w:r>
      <w:r>
        <w:br/>
      </w:r>
      <w:r>
        <w:br/>
      </w:r>
      <w:r>
        <w:br/>
      </w:r>
    </w:p>
    <w:p>
      <w:pPr>
        <w:pStyle w:val="null3"/>
        <w:jc w:val="center"/>
        <w:outlineLvl w:val="2"/>
      </w:pPr>
      <w:r>
        <w:rPr>
          <w:rFonts w:ascii="仿宋_GB2312" w:hAnsi="仿宋_GB2312" w:cs="仿宋_GB2312" w:eastAsia="仿宋_GB2312"/>
          <w:sz w:val="28"/>
          <w:b/>
        </w:rPr>
        <w:t>陕西省知识产权局机关</w:t>
      </w:r>
    </w:p>
    <w:p>
      <w:pPr>
        <w:pStyle w:val="null3"/>
        <w:jc w:val="center"/>
        <w:outlineLvl w:val="2"/>
      </w:pPr>
      <w:r>
        <w:rPr>
          <w:rFonts w:ascii="仿宋_GB2312" w:hAnsi="仿宋_GB2312" w:cs="仿宋_GB2312" w:eastAsia="仿宋_GB2312"/>
          <w:sz w:val="28"/>
          <w:b/>
        </w:rPr>
        <w:t>陕西众恒项目管理有限公司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陕西众恒项目管理有限公司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陕西省知识产权局机关</w:t>
      </w:r>
      <w:r>
        <w:rPr>
          <w:rFonts w:ascii="仿宋_GB2312" w:hAnsi="仿宋_GB2312" w:cs="仿宋_GB2312" w:eastAsia="仿宋_GB2312"/>
        </w:rPr>
        <w:t>委托，拟对</w:t>
      </w:r>
      <w:r>
        <w:rPr>
          <w:rFonts w:ascii="仿宋_GB2312" w:hAnsi="仿宋_GB2312" w:cs="仿宋_GB2312" w:eastAsia="仿宋_GB2312"/>
        </w:rPr>
        <w:t>2026丝路（陕西）国际地理标志产品交易大会——地理标志展</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SZB-2026-013-01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2026丝路（陕西）国际地理标志产品交易大会——地理标志展</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深入贯彻《知识产权强国建设纲要（2021—2035年）》的高标准要求，提升地理标志产品的内在价值。通过集中展示国内外地理标志产品，打造集产品展示、文化交流、商务合作为一体的国际化高端平台，促进国际贸易与文化交流的深化，推动区域特色经济蓬勃发展，为地理标志产业的繁荣发展贡献力量。根据省知识产权局需求，完成展览方案制定、展区策划设计搭建、参展项目组织、展览配套活动及交流活动组织、参展嘉宾及参展商服务、整体活动宣传等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1、营业执照：具有独立承担民事责任能力的法人、其他组织或自然人，提供合法有效的统一社会信用代码营业执照（其他组织提供相关证明资料，自然人应提供身份证）</w:t>
      </w:r>
    </w:p>
    <w:p>
      <w:pPr>
        <w:pStyle w:val="null3"/>
      </w:pPr>
      <w:r>
        <w:rPr>
          <w:rFonts w:ascii="仿宋_GB2312" w:hAnsi="仿宋_GB2312" w:cs="仿宋_GB2312" w:eastAsia="仿宋_GB2312"/>
        </w:rPr>
        <w:t>2、法定代表人授权书：提供法定代表人授权委托书原件（附法定代表人身份证复印件）及被授权委托人身份证（法定代表人参加投标时只须提供法定代表人身份证）</w:t>
      </w:r>
    </w:p>
    <w:p>
      <w:pPr>
        <w:pStyle w:val="null3"/>
      </w:pPr>
      <w:r>
        <w:rPr>
          <w:rFonts w:ascii="仿宋_GB2312" w:hAnsi="仿宋_GB2312" w:cs="仿宋_GB2312" w:eastAsia="仿宋_GB2312"/>
        </w:rPr>
        <w:t>3、财务状况报告：提供经审计的2024年度或2025年度的财务报告或提供开标日期前六个月内其基本账户开户银行出具的资信证明；其他组织和自然人提供银行出具的资信证明或财务报表</w:t>
      </w:r>
    </w:p>
    <w:p>
      <w:pPr>
        <w:pStyle w:val="null3"/>
      </w:pPr>
      <w:r>
        <w:rPr>
          <w:rFonts w:ascii="仿宋_GB2312" w:hAnsi="仿宋_GB2312" w:cs="仿宋_GB2312" w:eastAsia="仿宋_GB2312"/>
        </w:rPr>
        <w:t>4、税收缴纳证明：提供已缴纳的本年度或上年度任一月份的缴税凭证。依法免税的供应商应提供相关文件证明</w:t>
      </w:r>
    </w:p>
    <w:p>
      <w:pPr>
        <w:pStyle w:val="null3"/>
      </w:pPr>
      <w:r>
        <w:rPr>
          <w:rFonts w:ascii="仿宋_GB2312" w:hAnsi="仿宋_GB2312" w:cs="仿宋_GB2312" w:eastAsia="仿宋_GB2312"/>
        </w:rPr>
        <w:t>5、社会保障资金缴纳证明：提供已缴存的本年度或上年度任一月份的社会保障资金缴存单据或社保机构开具的社会保险参保缴费情况证明或提供其它相关证明资料，单据或证明上应有社保机构或代收机构的公章。依法不需要缴纳社会保障资金的服务商应提供相关文件证明</w:t>
      </w:r>
    </w:p>
    <w:p>
      <w:pPr>
        <w:pStyle w:val="null3"/>
      </w:pPr>
      <w:r>
        <w:rPr>
          <w:rFonts w:ascii="仿宋_GB2312" w:hAnsi="仿宋_GB2312" w:cs="仿宋_GB2312" w:eastAsia="仿宋_GB2312"/>
        </w:rPr>
        <w:t>6、信用记录：参加本次政府采购活动前3年内在经营活动中没有重大违纪，以及未被列入失信被执行人、重大税收违法案件当事人名单、政府采购严重违法失信行为记录名单</w:t>
      </w:r>
    </w:p>
    <w:p>
      <w:pPr>
        <w:pStyle w:val="null3"/>
      </w:pPr>
      <w:r>
        <w:rPr>
          <w:rFonts w:ascii="仿宋_GB2312" w:hAnsi="仿宋_GB2312" w:cs="仿宋_GB2312" w:eastAsia="仿宋_GB2312"/>
        </w:rPr>
        <w:t>7、信用主体查询：供应商通过“信用中国”网站(www.creditchina.gov.cn)查询相关主体信用记录，查询时间须在采购文件发售期至开标截止时间之间，并将网页截图附在响应文件中</w:t>
      </w:r>
    </w:p>
    <w:p>
      <w:pPr>
        <w:pStyle w:val="null3"/>
      </w:pPr>
      <w:r>
        <w:rPr>
          <w:rFonts w:ascii="仿宋_GB2312" w:hAnsi="仿宋_GB2312" w:cs="仿宋_GB2312" w:eastAsia="仿宋_GB2312"/>
        </w:rPr>
        <w:t>8、书面声明：具有履行合同所必需的专业技术和行业组织协调能力的承诺函</w:t>
      </w:r>
    </w:p>
    <w:p>
      <w:pPr>
        <w:pStyle w:val="null3"/>
      </w:pPr>
      <w:r>
        <w:rPr>
          <w:rFonts w:ascii="仿宋_GB2312" w:hAnsi="仿宋_GB2312" w:cs="仿宋_GB2312" w:eastAsia="仿宋_GB2312"/>
        </w:rPr>
        <w:t>9、《非联合体投标声明》：本项目不接受联合体投标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陕西省知识产权局机关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029-63916882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西安市雁翔路99号交大博源科技广场C座12楼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18821775788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代理服务费收费标准：招标代理服务费由中标人在领取中标通知书前向招标代理机构支付 ，参照国家计委计价格【2002】 1980号文支付，一次性收取。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陕西省知识产权局机关</w:t>
      </w:r>
      <w:r>
        <w:rPr>
          <w:rFonts w:ascii="仿宋_GB2312" w:hAnsi="仿宋_GB2312" w:cs="仿宋_GB2312" w:eastAsia="仿宋_GB2312"/>
        </w:rPr>
        <w:t>和</w:t>
      </w:r>
      <w:r>
        <w:rPr>
          <w:rFonts w:ascii="仿宋_GB2312" w:hAnsi="仿宋_GB2312" w:cs="仿宋_GB2312" w:eastAsia="仿宋_GB2312"/>
        </w:rPr>
        <w:t>陕西众恒项目管理有限公司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陕西省知识产权局机关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陕西省知识产权局机关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采购包1：分包比例100%；资质要求详见第4章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联系人：李楠</w:t>
      </w:r>
    </w:p>
    <w:p>
      <w:pPr>
        <w:pStyle w:val="null3"/>
      </w:pPr>
      <w:r>
        <w:rPr>
          <w:rFonts w:ascii="仿宋_GB2312" w:hAnsi="仿宋_GB2312" w:cs="仿宋_GB2312" w:eastAsia="仿宋_GB2312"/>
        </w:rPr>
        <w:t>联系电话：18821775788</w:t>
      </w:r>
    </w:p>
    <w:p>
      <w:pPr>
        <w:pStyle w:val="null3"/>
      </w:pPr>
      <w:r>
        <w:rPr>
          <w:rFonts w:ascii="仿宋_GB2312" w:hAnsi="仿宋_GB2312" w:cs="仿宋_GB2312" w:eastAsia="仿宋_GB2312"/>
        </w:rPr>
        <w:t>地址：西安市雁翔路99号交大博源科技广场C座12楼</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知识产权强国建设纲要（2021—2035年）》的高标准要求，提升地理标志产品的内在价值。通过集中展示国内外地理标志产品，打造集产品展示、文化交流、商务合作为一体的国际化高端平台，促进国际贸易与文化交流的深化，推动区域特色经济蓬勃发展，为地理标志产业的繁荣发展贡献力量。根据省知识产权局需求，完成展览方案制定、展区策划设计搭建、参展项目组织、展览配套活动及交流活动组织、参展嘉宾及参展商服务、整体活动宣传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2,990,000.00</w:t>
      </w:r>
    </w:p>
    <w:p>
      <w:pPr>
        <w:pStyle w:val="null3"/>
      </w:pPr>
      <w:r>
        <w:rPr>
          <w:rFonts w:ascii="仿宋_GB2312" w:hAnsi="仿宋_GB2312" w:cs="仿宋_GB2312" w:eastAsia="仿宋_GB2312"/>
        </w:rPr>
        <w:t>采购包最高限价（元）: 2,990,000.00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2026丝路（陕西）国际地理标志产品交易大会地理标志展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标的名称：2026丝路（陕西）国际地理标志产品交易大会地理标志展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展览方案制定：根据省知识产权局要求，对地理标志展览方案进行制定，以高质量、高标准、高规格为追求，致力于打造一个集产品展示、文化交流、商务合作为一体的国际化高端平台。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展区策划设计搭建：进行功能区域划分的策划、设计和搭建。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参展项目组织：根据省知识产权局要求，以及本次地标展主旨，利用自身国际资源，进行国际、国内展品的邀请。</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展览配套活动组织：以及本次地标展主旨，进行展览配套活动组织。</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整体活动宣传：围绕会议主题，在地理标志展的展前、展中、展后各个阶段，通过线上、线下覆盖的宣传模式，提升展会的行业辐射面和国际影响力。</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展览方案制定：策展思路贯彻落实国家政策要求，支撑国内与国际的交流与发展；总体规划合理、完善。</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展区策划设计搭建：展区设置合理，设计风格多样化、体现丝路国家、省份或产品特点，展区策划设计搭建方案完善、合理、可行。</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参展项目组织：利用自身国际资源，邀请丝路沿线国际、国内产品参加展会。</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展览配套活动组织：配套活动契合本次地标展主旨，包括并不限于：品鉴交流、选品对接、推介路演、行业交流等，能够提供具有可操作性解决方案，拥有地标行业专家渠道。</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整体活动宣传：组织中央及省级主流媒体进行深度报道；利用多种途径和手段扩大实时影响力、制造社交热点；拥有后续拓展方案，实现长尾效应。</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应急与响应：建立应急预案，</w:t>
            </w:r>
            <w:r>
              <w:rPr>
                <w:rFonts w:ascii="仿宋_GB2312" w:hAnsi="仿宋_GB2312" w:cs="仿宋_GB2312" w:eastAsia="仿宋_GB2312"/>
                <w:sz w:val="21"/>
              </w:rPr>
              <w:t>7×12小时服务响应，重大事项2小时内反馈处置。</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总结归档：全面汇总活动资料，形成成果汇编、宣传合集，完整移交档案材料。</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交付物：实施方案、成果汇编资料、宣传视频、现场照片、媒体报道合集等。</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验收标准：项目完成后成交供应商需将所有活动及相关资料汇总并提供一份项目总结报告给采购人作为验收依据。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按照项目规模及服务要求配置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按照项目规模及服务要求配置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按照项目规模及服务要求配置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根据陕西省知识产权局及地理标志产品展的安排，按照合同约定期限完成所有内容。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按照招标文件及合同要求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投标函 商务应答表 投标文件封面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具有独立承担民事责任能力的法人、其他组织或自然人，提供合法有效的统一社会信用代码营业执照（其他组织提供相关证明资料，自然人应提供身份证）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提供法定代表人授权委托书原件（附法定代表人身份证复印件）及被授权委托人身份证（法定代表人参加投标时只须提供法定代表人身份证）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提供经审计的2024年度或2025年度的财务报告或提供开标日期前六个月内其基本账户开户银行出具的资信证明；其他组织和自然人提供银行出具的资信证明或财务报表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提供已缴纳的本年度或上年度任一月份的缴税凭证。依法免税的供应商应提供相关文件证明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本年度或上年度任一月份的社会保障资金缴存单据或社保机构开具的社会保险参保缴费情况证明或提供其它相关证明资料，单据或证明上应有社保机构或代收机构的公章。依法不需要缴纳社会保障资金的服务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供应商通过“信用中国”网站(www.creditchina.gov.cn)查询相关主体信用记录，查询时间须在采购文件发售期至开标截止时间之间，并将网页截图附在响应文件中</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具有履行合同所必需的专业技术和行业组织协调能力的承诺函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针对本项目地理标志展览提供总体策划方案，策展思路贯彻落实国家政策要求，支撑国内与国际的交流与发展；展区总体规划合理、完善。 方案合理、完善的、国际化程度高赋3-5分，方案较为合理、完善、国际化程度一般赋2-3分，方案较差、措施一般、国际化程度差赋0-2分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展览详细设计</w:t>
            </w:r>
          </w:p>
        </w:tc>
        <w:tc>
          <w:tcPr>
            <w:tcW w:type="dxa" w:w="2492"/>
          </w:tcPr>
          <w:p>
            <w:pPr>
              <w:pStyle w:val="null3"/>
            </w:pPr>
            <w:r>
              <w:rPr>
                <w:rFonts w:ascii="仿宋_GB2312" w:hAnsi="仿宋_GB2312" w:cs="仿宋_GB2312" w:eastAsia="仿宋_GB2312"/>
              </w:rPr>
              <w:t>（1）提供本项目展区策划设计搭建、参展项目组织、展览配套活动组织的详细方案，保证活动顺利进行的方案。展区设置合理，设计风格多样化、体现丝路国家、省份特点，同时对于展商展示、洽谈等，能够提供具有可操作性解决方案。 展区策划设计搭建方案完善、合理、可行，得6-9分；方案基本合理、可行，得3-6分；方案内容简单，基本满足项目需求，得0-3分； 项目组织、展览配套活动组织的详细方案完善、合理、可行，得6-9分；方案基本合理、可行，得3-6分；方案内容简单，基本满足项目需求，得0-3分； 体现展区设置合理，设计风格多样化、体现丝路国家、省份特点的方案，方案完善、合理、可行，得6-9分；方案基本合理、可行，得3-6分；方案内容简单，基本满足项目需求，得0-3分。 （2）提供承诺函 承诺本项目引入非中国大陆参展产品所属国家10个（含）以上，得3分； 承诺协助国际展商且满足国家法律政策的货物入境，得3分； 国际国内展商证件办理，得2分； 最高得8分，不提供者不得分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有详细的人员配置方案，有健全的组织机构及工作安排，岗位分工明确，得7-10分；有 详细的人员配置方案，组织机构及工作安排基本完善、合理，岗位分工明确得，4-7分； 有详细的人员配置方案，组织机构及工作安排合理性差，岗位分工不明确，得1-4分；未提供不计分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进度计划及质量保障</w:t>
            </w:r>
          </w:p>
        </w:tc>
        <w:tc>
          <w:tcPr>
            <w:tcW w:type="dxa" w:w="2492"/>
          </w:tcPr>
          <w:p>
            <w:pPr>
              <w:pStyle w:val="null3"/>
            </w:pPr>
            <w:r>
              <w:rPr>
                <w:rFonts w:ascii="仿宋_GB2312" w:hAnsi="仿宋_GB2312" w:cs="仿宋_GB2312" w:eastAsia="仿宋_GB2312"/>
              </w:rPr>
              <w:t>工作进度计划及服务质量保障措施，工作进度计划合理、有可操作性，有详细的服务质量 保障措施,在采购人规定的时间内高质量完成服务。措施方案合理、完善的赋3-5分，措 施方案较为合理、完善赋2-3分，措施方案较差、一般赋0-2分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具有可行完善的突发事件及紧急情况处理措施方案。方案细致完整、可行、描述条理清晰 ，内容齐全，有较高的针对性赋3-5分，方案较完整，针对性一般赋2-3分，方案含糊， 针对性较差赋0-2分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提供供应商2022年1月1日至今举办过国家级大型国际知识产权类展览会议的，每提供1个得3分；举办过知识产权类展览会议的，每提供一个得2分；本项目最高得6分。 （业绩证明包括：合同：以合同签订时间为准，须附合同的扫描件加盖公章；其他证明：包括举办函件及媒体报道等证明材料。大型指展商数量超过200个以上的）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专家资源</w:t>
            </w:r>
          </w:p>
        </w:tc>
        <w:tc>
          <w:tcPr>
            <w:tcW w:type="dxa" w:w="2492"/>
          </w:tcPr>
          <w:p>
            <w:pPr>
              <w:pStyle w:val="null3"/>
            </w:pPr>
            <w:r>
              <w:rPr>
                <w:rFonts w:ascii="仿宋_GB2312" w:hAnsi="仿宋_GB2312" w:cs="仿宋_GB2312" w:eastAsia="仿宋_GB2312"/>
              </w:rPr>
              <w:t>供应商能够提供满足本项目需求的国内外地理标志领域专家列表，同时提供能够反应上述专家参与过供应商组织的各位活动证明材料的。每提供一个，得1分，最多得12分。（证明材料包括：专家在供应商举办的活动现场照片或活动日程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合作资源</w:t>
            </w:r>
          </w:p>
        </w:tc>
        <w:tc>
          <w:tcPr>
            <w:tcW w:type="dxa" w:w="2492"/>
          </w:tcPr>
          <w:p>
            <w:pPr>
              <w:pStyle w:val="null3"/>
            </w:pPr>
            <w:r>
              <w:rPr>
                <w:rFonts w:ascii="仿宋_GB2312" w:hAnsi="仿宋_GB2312" w:cs="仿宋_GB2312" w:eastAsia="仿宋_GB2312"/>
              </w:rPr>
              <w:t>供应商需提供提供的地理标志主管部门、地标产品销售渠道、国际合作、央媒合作资源的证明材料。 每提供一份地理标志主管部门或地标产品销售渠道相关合作协议，得1分，最高得4分； 每提供一个地理标志相关国际合作案例的，得2分，最高得4分； 每提供一份央媒合作合同的，得2分，最高得4分。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评标基准价：通过资格性审查和符合性审查且报价最低的投标报价为评标基准价。 投标报价得分：投标报价得分统一按照下列公式计算： 价格分=(评标基准价／投标报价)×价格权值×100 （注：如评标委员会一致认为最低报价或某些分项报价明显不合理，有降低质量、不能诚信履约的可能时，评标委员会有权通知投标人进行解释。如投标人未能在规定期限内作出解释，或所作解释不合理，经评标委员会取得一致意见后，对该投标人将不予推荐。）</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