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版本号：RH采字【20260307】—R号20260324001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2026年学位论文盲审平台（二次）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RH采字【20260307】—R号</w:t>
      </w:r>
      <w:r>
        <w:br/>
      </w:r>
      <w:r>
        <w:br/>
      </w:r>
      <w:r>
        <w:br/>
      </w:r>
    </w:p>
    <w:p>
      <w:pPr>
        <w:pStyle w:val="null3"/>
        <w:jc w:val="center"/>
        <w:outlineLvl w:val="2"/>
      </w:pPr>
      <w:r>
        <w:rPr>
          <w:rFonts w:ascii="仿宋_GB2312" w:hAnsi="仿宋_GB2312" w:cs="仿宋_GB2312" w:eastAsia="仿宋_GB2312"/>
          <w:sz w:val="28"/>
          <w:b/>
        </w:rPr>
        <w:t>西安美术学院</w:t>
      </w:r>
    </w:p>
    <w:p>
      <w:pPr>
        <w:pStyle w:val="null3"/>
        <w:jc w:val="center"/>
        <w:outlineLvl w:val="2"/>
      </w:pPr>
      <w:r>
        <w:rPr>
          <w:rFonts w:ascii="仿宋_GB2312" w:hAnsi="仿宋_GB2312" w:cs="仿宋_GB2312" w:eastAsia="仿宋_GB2312"/>
          <w:sz w:val="28"/>
          <w:b/>
        </w:rPr>
        <w:t>瑞恒项目管理有限公司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2026年03月24日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瑞恒项目管理有限公司</w:t>
      </w:r>
      <w:r>
        <w:rPr>
          <w:rFonts w:ascii="仿宋_GB2312" w:hAnsi="仿宋_GB2312" w:cs="仿宋_GB2312" w:eastAsia="仿宋_GB2312"/>
        </w:rPr>
        <w:t>（以下简称“代理机构”）受</w:t>
      </w:r>
      <w:r>
        <w:rPr>
          <w:rFonts w:ascii="仿宋_GB2312" w:hAnsi="仿宋_GB2312" w:cs="仿宋_GB2312" w:eastAsia="仿宋_GB2312"/>
        </w:rPr>
        <w:t>西安美术学院</w:t>
      </w:r>
      <w:r>
        <w:rPr>
          <w:rFonts w:ascii="仿宋_GB2312" w:hAnsi="仿宋_GB2312" w:cs="仿宋_GB2312" w:eastAsia="仿宋_GB2312"/>
        </w:rPr>
        <w:t>委托，拟对</w:t>
      </w:r>
      <w:r>
        <w:rPr>
          <w:rFonts w:ascii="仿宋_GB2312" w:hAnsi="仿宋_GB2312" w:cs="仿宋_GB2312" w:eastAsia="仿宋_GB2312"/>
        </w:rPr>
        <w:t>2026年学位论文盲审平台（二次）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RH采字【20260307】—R号</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2026年学位论文盲审平台（二次）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西安美术学院2026年学位论文盲审平台（二次），1项</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1、具有独立承担民事责任的能力：具有独立承担民事责任能力的法人、其他组织或自然人，提供合法有效的统一社会信用代码营业执照（事业单位提供法人证书，自然人提供身份证）。</w:t>
      </w:r>
    </w:p>
    <w:p>
      <w:pPr>
        <w:pStyle w:val="null3"/>
      </w:pPr>
      <w:r>
        <w:rPr>
          <w:rFonts w:ascii="仿宋_GB2312" w:hAnsi="仿宋_GB2312" w:cs="仿宋_GB2312" w:eastAsia="仿宋_GB2312"/>
        </w:rPr>
        <w:t>2、具有良好的商业信誉和健全的财务会计制度：法人提供经审计的2024或2025年度的财务报告（成立时间至响应文件递交截止时间不足一年的可提供成立后任意时段的资产负债表）或响应文件递交截止时间前六个月内银行出具的资信证明；其他组织和自然人提供银行出具的资信证明或财务报表；根据《财政部关于注册会计师行业统一监管平台上线运行的通知》财办〔2022〕32号文件要求，审计报告须有清晰可扫描查询的二维码，若审计报告未赋码视为无效。</w:t>
      </w:r>
    </w:p>
    <w:p>
      <w:pPr>
        <w:pStyle w:val="null3"/>
      </w:pPr>
      <w:r>
        <w:rPr>
          <w:rFonts w:ascii="仿宋_GB2312" w:hAnsi="仿宋_GB2312" w:cs="仿宋_GB2312" w:eastAsia="仿宋_GB2312"/>
        </w:rPr>
        <w:t>3、有依法缴纳税收的良好记录：法人提供响应文件递交截止时间前一年内至少一个月依法缴纳税收的相关凭据（时间以税款所属日期为准，凭据应有税务机关或代收机关的公章或业务专用章）；其他组织和自然人提供缴纳税收的凭据；依法免税的供应商应提供相关文件证明。</w:t>
      </w:r>
    </w:p>
    <w:p>
      <w:pPr>
        <w:pStyle w:val="null3"/>
      </w:pPr>
      <w:r>
        <w:rPr>
          <w:rFonts w:ascii="仿宋_GB2312" w:hAnsi="仿宋_GB2312" w:cs="仿宋_GB2312" w:eastAsia="仿宋_GB2312"/>
        </w:rPr>
        <w:t>4、有依法缴纳社会保障资金的良好记录：提供响应文件递交截止时间前一年内至少一个月已缴纳的社会保障资金的凭据（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5、具有履行合同所必需的设备和专业技术能力：提供具有履行合同所必需的设备和专业技术能力的承诺。</w:t>
      </w:r>
    </w:p>
    <w:p>
      <w:pPr>
        <w:pStyle w:val="null3"/>
      </w:pPr>
      <w:r>
        <w:rPr>
          <w:rFonts w:ascii="仿宋_GB2312" w:hAnsi="仿宋_GB2312" w:cs="仿宋_GB2312" w:eastAsia="仿宋_GB2312"/>
        </w:rPr>
        <w:t>6、参加政府采购活动前三年内，在经营活动中没有重大违法记录：提供参加政府采购活动前三年内，在经营活动中没有重大违法记录的书面声明。</w:t>
      </w:r>
    </w:p>
    <w:p>
      <w:pPr>
        <w:pStyle w:val="null3"/>
      </w:pPr>
      <w:r>
        <w:rPr>
          <w:rFonts w:ascii="仿宋_GB2312" w:hAnsi="仿宋_GB2312" w:cs="仿宋_GB2312" w:eastAsia="仿宋_GB2312"/>
        </w:rPr>
        <w:t>7、法定代表人授权书、法定代表人身份证明合格：提供合格的法定代表人授权书（附法定代表人、被授权人身份证复印件）或法定代表人身份证明（法定代表人直接参加的）。</w:t>
      </w:r>
    </w:p>
    <w:p>
      <w:pPr>
        <w:pStyle w:val="null3"/>
      </w:pPr>
      <w:r>
        <w:rPr>
          <w:rFonts w:ascii="仿宋_GB2312" w:hAnsi="仿宋_GB2312" w:cs="仿宋_GB2312" w:eastAsia="仿宋_GB2312"/>
        </w:rPr>
        <w:t>8、信用承诺：提供未被“信用中国”网站（www.creditchina.gov.cn）列入失信被执行人或重大税收违法失信主体名单，未被财政部门在中国政府采购网（www.ccgp.gov.cn）政府采购严重违法失信行为记录名单中禁止参加政府采购活动的承诺。</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西安美术学院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西安市雁塔区含光路100号西安美术学院</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吴慷</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029-88214244</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瑞恒项目管理有限公司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陕西省西安市曲江新区雁翔路3269号旺座曲江D座30层3001号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刘菲、王倩倩、石雨鑫、张丰利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15091632950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采购包1：550,750.00元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代理服务费收费标准：参照《招标代理服务收费管理暂行办法》（计价格[2002]1980号）和《关于招标代理服务收费有关问题的通知》（发改办价格[2003]857号）的有关规定收取,计费基数为项目预算金额。 成交供应商在领取中标（成交）通知书前，须向采购代理机构一次性支付采购代理服务费。 本项目类型：服务 采购代理服务费账户： 户名：瑞恒项目管理有限公司 开户行：工行西安城南科技支行 账号：3700024819200044620</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西安美术学院</w:t>
      </w:r>
      <w:r>
        <w:rPr>
          <w:rFonts w:ascii="仿宋_GB2312" w:hAnsi="仿宋_GB2312" w:cs="仿宋_GB2312" w:eastAsia="仿宋_GB2312"/>
        </w:rPr>
        <w:t>和</w:t>
      </w:r>
      <w:r>
        <w:rPr>
          <w:rFonts w:ascii="仿宋_GB2312" w:hAnsi="仿宋_GB2312" w:cs="仿宋_GB2312" w:eastAsia="仿宋_GB2312"/>
        </w:rPr>
        <w:t>瑞恒项目管理有限公司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西安美术学院</w:t>
      </w:r>
      <w:r>
        <w:rPr>
          <w:rFonts w:ascii="仿宋_GB2312" w:hAnsi="仿宋_GB2312" w:cs="仿宋_GB2312" w:eastAsia="仿宋_GB2312"/>
        </w:rPr>
        <w:t>负责解释。除上述磋商文件内容，其他内容由</w:t>
      </w:r>
      <w:r>
        <w:rPr>
          <w:rFonts w:ascii="仿宋_GB2312" w:hAnsi="仿宋_GB2312" w:cs="仿宋_GB2312" w:eastAsia="仿宋_GB2312"/>
        </w:rPr>
        <w:t>瑞恒项目管理有限公司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西安美术学院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瑞恒项目管理有限公司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根据竞争性磋商文件要求及合同约定执行。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瑞恒项目管理有限公司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瑞恒项目管理有限公司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瑞恒项目管理有限公司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联系人：刘菲、王倩倩、石雨鑫、张丰利</w:t>
      </w:r>
    </w:p>
    <w:p>
      <w:pPr>
        <w:pStyle w:val="null3"/>
      </w:pPr>
      <w:r>
        <w:rPr>
          <w:rFonts w:ascii="仿宋_GB2312" w:hAnsi="仿宋_GB2312" w:cs="仿宋_GB2312" w:eastAsia="仿宋_GB2312"/>
        </w:rPr>
        <w:t>联系电话：15091632950</w:t>
      </w:r>
    </w:p>
    <w:p>
      <w:pPr>
        <w:pStyle w:val="null3"/>
      </w:pPr>
      <w:r>
        <w:rPr>
          <w:rFonts w:ascii="仿宋_GB2312" w:hAnsi="仿宋_GB2312" w:cs="仿宋_GB2312" w:eastAsia="仿宋_GB2312"/>
        </w:rPr>
        <w:t>地址：陕西省西安市曲江新区雁翔路3269号旺座曲江D座30层3001号</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西安美术学院2026年学位论文盲审平台（二次），1项</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550,750.00</w:t>
      </w:r>
    </w:p>
    <w:p>
      <w:pPr>
        <w:pStyle w:val="null3"/>
      </w:pPr>
      <w:r>
        <w:rPr>
          <w:rFonts w:ascii="仿宋_GB2312" w:hAnsi="仿宋_GB2312" w:cs="仿宋_GB2312" w:eastAsia="仿宋_GB2312"/>
        </w:rPr>
        <w:t>采购包最高限价（元）: 550,750.00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2026年学位论文盲审平台</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550,750.00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标的名称：2026年学位论文盲审平台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4"/>
                <w:b/>
              </w:rPr>
              <w:t>（一）委托服务方式</w:t>
            </w:r>
          </w:p>
          <w:p>
            <w:pPr>
              <w:pStyle w:val="null3"/>
              <w:ind w:firstLine="480"/>
              <w:jc w:val="both"/>
            </w:pPr>
            <w:r>
              <w:rPr>
                <w:rFonts w:ascii="仿宋_GB2312" w:hAnsi="仿宋_GB2312" w:cs="仿宋_GB2312" w:eastAsia="仿宋_GB2312"/>
                <w:sz w:val="24"/>
              </w:rPr>
              <w:t>西安美术学院全权委托开展学位论文评审服务。</w:t>
            </w:r>
          </w:p>
          <w:p>
            <w:pPr>
              <w:pStyle w:val="null3"/>
              <w:ind w:firstLine="480"/>
              <w:jc w:val="both"/>
            </w:pPr>
            <w:r>
              <w:rPr>
                <w:rFonts w:ascii="仿宋_GB2312" w:hAnsi="仿宋_GB2312" w:cs="仿宋_GB2312" w:eastAsia="仿宋_GB2312"/>
                <w:sz w:val="24"/>
              </w:rPr>
              <w:t>1.由西安美术学院提供论文送审清单及送审论文、评阅意见书模板；</w:t>
            </w:r>
          </w:p>
          <w:p>
            <w:pPr>
              <w:pStyle w:val="null3"/>
              <w:ind w:firstLine="480"/>
              <w:jc w:val="both"/>
            </w:pPr>
            <w:r>
              <w:rPr>
                <w:rFonts w:ascii="仿宋_GB2312" w:hAnsi="仿宋_GB2312" w:cs="仿宋_GB2312" w:eastAsia="仿宋_GB2312"/>
                <w:sz w:val="24"/>
              </w:rPr>
              <w:t>2.供应商指导/配合材料，并负责按要求聘请专家、管理评审过程、支付专家劳务费与管理费等，平台需在2026年4月10日前将硕士学位论文、4月20日前将博士学位论文隐去姓名等信息送出评审，于2026年4月28日前、5月28日前分别将盲审后的硕士学位论文、博士学位论文反馈西安美术学院。</w:t>
            </w:r>
          </w:p>
          <w:p>
            <w:pPr>
              <w:pStyle w:val="null3"/>
            </w:pPr>
            <w:r>
              <w:rPr>
                <w:rFonts w:ascii="仿宋_GB2312" w:hAnsi="仿宋_GB2312" w:cs="仿宋_GB2312" w:eastAsia="仿宋_GB2312"/>
                <w:sz w:val="24"/>
              </w:rPr>
              <w:t xml:space="preserve">  3.供应商需严格遵守保密原则，做到双向匿名，不得向除评审专家外的第三方提供西安美术学院所提交的所有送审材料及相关信息，也不得向第三方提供评审专家名单和评审结果。</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left"/>
            </w:pPr>
            <w:r>
              <w:rPr>
                <w:rFonts w:ascii="仿宋_GB2312" w:hAnsi="仿宋_GB2312" w:cs="仿宋_GB2312" w:eastAsia="仿宋_GB2312"/>
                <w:sz w:val="24"/>
                <w:b/>
              </w:rPr>
              <w:t>（二）对论文评审单位的要求</w:t>
            </w:r>
          </w:p>
          <w:p>
            <w:pPr>
              <w:pStyle w:val="null3"/>
            </w:pPr>
            <w:r>
              <w:rPr>
                <w:rFonts w:ascii="仿宋_GB2312" w:hAnsi="仿宋_GB2312" w:cs="仿宋_GB2312" w:eastAsia="仿宋_GB2312"/>
                <w:sz w:val="24"/>
              </w:rPr>
              <w:t xml:space="preserve">  供应商需保证论文送审结果的科学性与有效性，要求送往同层次艺术类院校评阅。同一作者的论文应送审不同的高校或研究院（所），博士论文评审单位应具有相应一级学科的博士学位授权，学位论文评审单位应具有相应一级学科的硕士学位授权。</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left"/>
            </w:pPr>
            <w:r>
              <w:rPr>
                <w:rFonts w:ascii="仿宋_GB2312" w:hAnsi="仿宋_GB2312" w:cs="仿宋_GB2312" w:eastAsia="仿宋_GB2312"/>
                <w:sz w:val="24"/>
                <w:b/>
              </w:rPr>
              <w:t>（三）对论文评审专家的要求</w:t>
            </w:r>
          </w:p>
          <w:p>
            <w:pPr>
              <w:pStyle w:val="null3"/>
            </w:pPr>
            <w:r>
              <w:rPr>
                <w:rFonts w:ascii="仿宋_GB2312" w:hAnsi="仿宋_GB2312" w:cs="仿宋_GB2312" w:eastAsia="仿宋_GB2312"/>
                <w:sz w:val="24"/>
              </w:rPr>
              <w:t xml:space="preserve">  博士论文评审专家均应为选题相关领域的、具有高级专业技术职务或博士研究生导师资格的专家；学位论文评审专家均应为选题相关领域的、具有副高级专业技术职务或硕士研究生导师资格的专家。</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left"/>
            </w:pPr>
            <w:r>
              <w:rPr>
                <w:rFonts w:ascii="仿宋_GB2312" w:hAnsi="仿宋_GB2312" w:cs="仿宋_GB2312" w:eastAsia="仿宋_GB2312"/>
                <w:sz w:val="24"/>
                <w:b/>
              </w:rPr>
              <w:t>（四）服务平台功能要求</w:t>
            </w:r>
          </w:p>
          <w:p>
            <w:pPr>
              <w:pStyle w:val="null3"/>
              <w:ind w:firstLine="480"/>
            </w:pPr>
            <w:r>
              <w:rPr>
                <w:rFonts w:ascii="仿宋_GB2312" w:hAnsi="仿宋_GB2312" w:cs="仿宋_GB2312" w:eastAsia="仿宋_GB2312"/>
                <w:sz w:val="24"/>
              </w:rPr>
              <w:t>（</w:t>
            </w:r>
            <w:r>
              <w:rPr>
                <w:rFonts w:ascii="仿宋_GB2312" w:hAnsi="仿宋_GB2312" w:cs="仿宋_GB2312" w:eastAsia="仿宋_GB2312"/>
                <w:sz w:val="24"/>
              </w:rPr>
              <w:t>1）平台采用https协议，保证信息传输的安全性。</w:t>
            </w:r>
          </w:p>
          <w:p>
            <w:pPr>
              <w:pStyle w:val="null3"/>
              <w:ind w:firstLine="480"/>
            </w:pPr>
            <w:r>
              <w:rPr>
                <w:rFonts w:ascii="仿宋_GB2312" w:hAnsi="仿宋_GB2312" w:cs="仿宋_GB2312" w:eastAsia="仿宋_GB2312"/>
                <w:sz w:val="24"/>
              </w:rPr>
              <w:t>（</w:t>
            </w:r>
            <w:r>
              <w:rPr>
                <w:rFonts w:ascii="仿宋_GB2312" w:hAnsi="仿宋_GB2312" w:cs="仿宋_GB2312" w:eastAsia="仿宋_GB2312"/>
                <w:sz w:val="24"/>
              </w:rPr>
              <w:t>2）支持按照采购人要求单独配置送审参数，包括但不限于：评阅模版类型、论文送审专家数量、结果返回时间、送审要求设置、单个专家评审数量限制。</w:t>
            </w:r>
          </w:p>
          <w:p>
            <w:pPr>
              <w:pStyle w:val="null3"/>
              <w:ind w:firstLine="480"/>
            </w:pPr>
            <w:r>
              <w:rPr>
                <w:rFonts w:ascii="仿宋_GB2312" w:hAnsi="仿宋_GB2312" w:cs="仿宋_GB2312" w:eastAsia="仿宋_GB2312"/>
                <w:sz w:val="24"/>
              </w:rPr>
              <w:t>（</w:t>
            </w:r>
            <w:r>
              <w:rPr>
                <w:rFonts w:ascii="仿宋_GB2312" w:hAnsi="仿宋_GB2312" w:cs="仿宋_GB2312" w:eastAsia="仿宋_GB2312"/>
                <w:sz w:val="24"/>
              </w:rPr>
              <w:t>3）支持账户的分级权限管理：包括设置账户状态（正常/停用）、匿名送审（是/否）、下载评审结果（允许/不允许）、查看代送审结果（允许/不允许）、劳务费比例等。</w:t>
            </w:r>
          </w:p>
          <w:p>
            <w:pPr>
              <w:pStyle w:val="null3"/>
              <w:ind w:firstLine="480"/>
            </w:pPr>
            <w:r>
              <w:rPr>
                <w:rFonts w:ascii="仿宋_GB2312" w:hAnsi="仿宋_GB2312" w:cs="仿宋_GB2312" w:eastAsia="仿宋_GB2312"/>
                <w:sz w:val="24"/>
              </w:rPr>
              <w:t>（</w:t>
            </w:r>
            <w:r>
              <w:rPr>
                <w:rFonts w:ascii="仿宋_GB2312" w:hAnsi="仿宋_GB2312" w:cs="仿宋_GB2312" w:eastAsia="仿宋_GB2312"/>
                <w:sz w:val="24"/>
              </w:rPr>
              <w:t>4）支持批量上传送审论文电子版及汇总表，支持单篇或批量下载评审结果及汇总信息，支持按院系、姓名对评审结果排序。</w:t>
            </w:r>
          </w:p>
          <w:p>
            <w:pPr>
              <w:pStyle w:val="null3"/>
              <w:ind w:firstLine="480"/>
            </w:pPr>
            <w:r>
              <w:rPr>
                <w:rFonts w:ascii="仿宋_GB2312" w:hAnsi="仿宋_GB2312" w:cs="仿宋_GB2312" w:eastAsia="仿宋_GB2312"/>
                <w:sz w:val="24"/>
              </w:rPr>
              <w:t>（</w:t>
            </w:r>
            <w:r>
              <w:rPr>
                <w:rFonts w:ascii="仿宋_GB2312" w:hAnsi="仿宋_GB2312" w:cs="仿宋_GB2312" w:eastAsia="仿宋_GB2312"/>
                <w:sz w:val="24"/>
              </w:rPr>
              <w:t>5）支持学校账户可对院系账户送审情况进行实时监督与管理；学校账户可查看院系账户论文上传、送审进度情况。</w:t>
            </w:r>
          </w:p>
          <w:p>
            <w:pPr>
              <w:pStyle w:val="null3"/>
              <w:ind w:firstLine="480"/>
            </w:pPr>
            <w:r>
              <w:rPr>
                <w:rFonts w:ascii="仿宋_GB2312" w:hAnsi="仿宋_GB2312" w:cs="仿宋_GB2312" w:eastAsia="仿宋_GB2312"/>
                <w:sz w:val="24"/>
              </w:rPr>
              <w:t>（</w:t>
            </w:r>
            <w:r>
              <w:rPr>
                <w:rFonts w:ascii="仿宋_GB2312" w:hAnsi="仿宋_GB2312" w:cs="仿宋_GB2312" w:eastAsia="仿宋_GB2312"/>
                <w:sz w:val="24"/>
              </w:rPr>
              <w:t>6）支持学校灵活定制论文评阅书模板。</w:t>
            </w:r>
          </w:p>
          <w:p>
            <w:pPr>
              <w:pStyle w:val="null3"/>
              <w:ind w:firstLine="480"/>
            </w:pPr>
            <w:r>
              <w:rPr>
                <w:rFonts w:ascii="仿宋_GB2312" w:hAnsi="仿宋_GB2312" w:cs="仿宋_GB2312" w:eastAsia="仿宋_GB2312"/>
                <w:sz w:val="24"/>
              </w:rPr>
              <w:t>（</w:t>
            </w:r>
            <w:r>
              <w:rPr>
                <w:rFonts w:ascii="仿宋_GB2312" w:hAnsi="仿宋_GB2312" w:cs="仿宋_GB2312" w:eastAsia="仿宋_GB2312"/>
                <w:sz w:val="24"/>
              </w:rPr>
              <w:t>7）支持专家查看、评审、下载、拒评论文；支持专家临时保存评阅意见、提交评阅意见，支持专家采用上传签名文件和在线手写签名两种方式。</w:t>
            </w:r>
          </w:p>
          <w:p>
            <w:pPr>
              <w:pStyle w:val="null3"/>
              <w:ind w:firstLine="480"/>
            </w:pPr>
            <w:r>
              <w:rPr>
                <w:rFonts w:ascii="仿宋_GB2312" w:hAnsi="仿宋_GB2312" w:cs="仿宋_GB2312" w:eastAsia="仿宋_GB2312"/>
                <w:sz w:val="24"/>
              </w:rPr>
              <w:t>（</w:t>
            </w:r>
            <w:r>
              <w:rPr>
                <w:rFonts w:ascii="仿宋_GB2312" w:hAnsi="仿宋_GB2312" w:cs="仿宋_GB2312" w:eastAsia="仿宋_GB2312"/>
                <w:sz w:val="24"/>
              </w:rPr>
              <w:t>8）支持批量或单个下载pdf论文评阅书及评阅汇总表，论文评阅书支持匿名和非匿名两种版本。</w:t>
            </w:r>
          </w:p>
          <w:p>
            <w:pPr>
              <w:pStyle w:val="null3"/>
              <w:ind w:firstLine="480"/>
            </w:pPr>
            <w:r>
              <w:rPr>
                <w:rFonts w:ascii="仿宋_GB2312" w:hAnsi="仿宋_GB2312" w:cs="仿宋_GB2312" w:eastAsia="仿宋_GB2312"/>
                <w:sz w:val="24"/>
              </w:rPr>
              <w:t>（</w:t>
            </w:r>
            <w:r>
              <w:rPr>
                <w:rFonts w:ascii="仿宋_GB2312" w:hAnsi="仿宋_GB2312" w:cs="仿宋_GB2312" w:eastAsia="仿宋_GB2312"/>
                <w:sz w:val="24"/>
              </w:rPr>
              <w:t>9）支持原论文加送及论文修改后再送审模式，能够方便高效进行特殊业务评审。</w:t>
            </w:r>
          </w:p>
          <w:p>
            <w:pPr>
              <w:pStyle w:val="null3"/>
            </w:pPr>
            <w:r>
              <w:rPr>
                <w:rFonts w:ascii="仿宋_GB2312" w:hAnsi="仿宋_GB2312" w:cs="仿宋_GB2312" w:eastAsia="仿宋_GB2312"/>
                <w:sz w:val="24"/>
              </w:rPr>
              <w:t xml:space="preserve">  </w:t>
            </w:r>
            <w:r>
              <w:rPr>
                <w:rFonts w:ascii="仿宋_GB2312" w:hAnsi="仿宋_GB2312" w:cs="仿宋_GB2312" w:eastAsia="仿宋_GB2312"/>
                <w:sz w:val="24"/>
              </w:rPr>
              <w:t>（</w:t>
            </w:r>
            <w:r>
              <w:rPr>
                <w:rFonts w:ascii="仿宋_GB2312" w:hAnsi="仿宋_GB2312" w:cs="仿宋_GB2312" w:eastAsia="仿宋_GB2312"/>
                <w:sz w:val="24"/>
              </w:rPr>
              <w:t>10）支持在线提取费用，支持系统自动扣税功能，保证支付安全。</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jc w:val="left"/>
            </w:pPr>
            <w:r>
              <w:rPr>
                <w:rFonts w:ascii="仿宋_GB2312" w:hAnsi="仿宋_GB2312" w:cs="仿宋_GB2312" w:eastAsia="仿宋_GB2312"/>
                <w:sz w:val="24"/>
                <w:b/>
              </w:rPr>
              <w:t>（五）预毕业人数及报价要求</w:t>
            </w:r>
          </w:p>
          <w:p>
            <w:pPr>
              <w:pStyle w:val="null3"/>
              <w:ind w:firstLine="480"/>
            </w:pPr>
            <w:r>
              <w:rPr>
                <w:rFonts w:ascii="仿宋_GB2312" w:hAnsi="仿宋_GB2312" w:cs="仿宋_GB2312" w:eastAsia="仿宋_GB2312"/>
                <w:sz w:val="24"/>
              </w:rPr>
              <w:t>2026年西安美术学院研究生学位论文全委托送审项目清单（见下表），此为暂估数据，仅作磋商响应报价使用。本项目按单价据实结算，预毕业人数仅作参考，因学位论文送审存在是否通过，如不通过需要加送的情况，最终以实际毕业人数及成交单价据实结算。</w:t>
            </w:r>
          </w:p>
          <w:tbl>
            <w:tblPr>
              <w:tblInd w:type="dxa" w:w="120"/>
              <w:tblBorders>
                <w:top w:val="none" w:color="000000" w:sz="4"/>
                <w:left w:val="none" w:color="000000" w:sz="4"/>
                <w:bottom w:val="none" w:color="000000" w:sz="4"/>
                <w:right w:val="none" w:color="000000" w:sz="4"/>
                <w:insideH w:val="none"/>
                <w:insideV w:val="none"/>
              </w:tblBorders>
            </w:tblPr>
            <w:tblGrid>
              <w:gridCol w:w="426"/>
              <w:gridCol w:w="775"/>
              <w:gridCol w:w="577"/>
              <w:gridCol w:w="775"/>
            </w:tblGrid>
            <w:tr>
              <w:tc>
                <w:tcPr>
                  <w:tcW w:type="dxa" w:w="4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b/>
                    </w:rPr>
                    <w:t>序号</w:t>
                  </w:r>
                </w:p>
              </w:tc>
              <w:tc>
                <w:tcPr>
                  <w:tcW w:type="dxa" w:w="7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b/>
                    </w:rPr>
                    <w:t>学位层次</w:t>
                  </w:r>
                </w:p>
              </w:tc>
              <w:tc>
                <w:tcPr>
                  <w:tcW w:type="dxa" w:w="5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b/>
                    </w:rPr>
                    <w:t>预毕业人数（人）</w:t>
                  </w:r>
                </w:p>
              </w:tc>
              <w:tc>
                <w:tcPr>
                  <w:tcW w:type="dxa" w:w="7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b/>
                    </w:rPr>
                    <w:t>送审份数（人</w:t>
                  </w:r>
                  <w:r>
                    <w:rPr>
                      <w:rFonts w:ascii="仿宋_GB2312" w:hAnsi="仿宋_GB2312" w:cs="仿宋_GB2312" w:eastAsia="仿宋_GB2312"/>
                      <w:sz w:val="24"/>
                      <w:b/>
                    </w:rPr>
                    <w:t>/份）</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1</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硕士研究生</w:t>
                  </w: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485</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每生送审</w:t>
                  </w:r>
                  <w:r>
                    <w:rPr>
                      <w:rFonts w:ascii="仿宋_GB2312" w:hAnsi="仿宋_GB2312" w:cs="仿宋_GB2312" w:eastAsia="仿宋_GB2312"/>
                      <w:sz w:val="24"/>
                    </w:rPr>
                    <w:t>2份</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2</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博士研究生</w:t>
                  </w: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65</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每生送审</w:t>
                  </w:r>
                  <w:r>
                    <w:rPr>
                      <w:rFonts w:ascii="仿宋_GB2312" w:hAnsi="仿宋_GB2312" w:cs="仿宋_GB2312" w:eastAsia="仿宋_GB2312"/>
                      <w:sz w:val="24"/>
                    </w:rPr>
                    <w:t>5份</w:t>
                  </w: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按项目需求配置，根据竞争性磋商文件要求、响应文件承诺及合同约定执行。</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按项目需求配置，根据竞争性磋商文件要求、响应文件承诺及合同约定执行。</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注：本项目按单价据实结算，预毕业人数仅作参考，因学位论文送审存在是否通过，如不通过需要加送的情况，最终以实际毕业人数及成交单价据实结算。</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平台需在2026年4月10日前将硕士学位论文、4月20日前将博士学位论文隐去姓名等信息送出评审，于2026年4月28日前、5月28日前分别将盲审后的硕士学位论文、博士学位论文反馈采购人。</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根据竞争性磋商文件要求及合同约定执行。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本项目按单价据实结算，预毕业人数仅作参考，因学位论文送审存在是否通过，如不通过需要加送的情况，最终以实际毕业人数及成交单价据实结算，一次性支付 </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1、乙方提供的服务不符合本合同规定的，甲方有权拒收，并且乙方须向甲方方支付本合同总价5%的违约金。 2、乙方未能按本合同规定的交货时间提供服务，从逾期之日起每日按本合同总价3‰的数额向甲方支付违约金；逾期半个月以上的，甲方有权终止合同，由此造成的甲方经济损失由乙方承担。 3、甲方无正当理由拒收接受服务，到期拒付服务款项的，甲方向乙方偿付本合同总的5%的违约金。甲方逾期付款，则每日按本合同总价的3%向乙方偿付违约金。 4、其它违约责任按《中华人民共和国民法典》处理。</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为顺利推进政府采购电子化交易平台应用工作，供应商需要在线提交所有通过电子化交易平台实施的政府采购项目的响应文件，同时，线下提交纸质响应文件正本壹份、副本贰份。纸质响应文件正、副本分别胶装，标明供应商名称密封递交，递交截止时间同在线递交电子响应文件截止时间一致，递交地址：陕西省西安市曲江新区雁翔路3269号旺座曲江D座30层（纸质响应文件可邮寄，邮件寄出时间应在递交电子响应文件截止时间之前，邮寄地址：陕西省西安市曲江新区雁翔路 3269号旺座曲江D座30层，联系人：王工，联系电话：15091632950）。若电子响应文件与纸质响应文件不一致的，以电子响应文件为准。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法人提供经审计的2024或2025年度的财务报告（成立时间至响应文件递交截止时间不足一年的可提供成立后任意时段的资产负债表）或响应文件递交截止时间前六个月内银行出具的资信证明；其他组织和自然人提供银行出具的资信证明或财务报表；根据《财政部关于注册会计师行业统一监管平台上线运行的通知》财办〔2022〕32号文件要求，审计报告须有清晰可扫描查询的二维码，若审计报告未赋码视为无效}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具有独立承担民事责任能力的法人、其他组织或自然人，提供合法有效的统一社会信用代码营业执照（事业单位提供法人证书，自然人提供身份证）。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具有良好的商业信誉和健全的财务会计制度</w:t>
            </w:r>
          </w:p>
        </w:tc>
        <w:tc>
          <w:tcPr>
            <w:tcW w:type="dxa" w:w="3322"/>
          </w:tcPr>
          <w:p>
            <w:pPr>
              <w:pStyle w:val="null3"/>
            </w:pPr>
            <w:r>
              <w:rPr>
                <w:rFonts w:ascii="仿宋_GB2312" w:hAnsi="仿宋_GB2312" w:cs="仿宋_GB2312" w:eastAsia="仿宋_GB2312"/>
              </w:rPr>
              <w:t>法人提供经审计的2024或2025年度的财务报告（成立时间至响应文件递交截止时间不足一年的可提供成立后任意时段的资产负债表）或响应文件递交截止时间前六个月内银行出具的资信证明；其他组织和自然人提供银行出具的资信证明或财务报表；根据《财政部关于注册会计师行业统一监管平台上线运行的通知》财办〔2022〕32号文件要求，审计报告须有清晰可扫描查询的二维码，若审计报告未赋码视为无效。</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有依法缴纳税收的良好记录</w:t>
            </w:r>
          </w:p>
        </w:tc>
        <w:tc>
          <w:tcPr>
            <w:tcW w:type="dxa" w:w="3322"/>
          </w:tcPr>
          <w:p>
            <w:pPr>
              <w:pStyle w:val="null3"/>
            </w:pPr>
            <w:r>
              <w:rPr>
                <w:rFonts w:ascii="仿宋_GB2312" w:hAnsi="仿宋_GB2312" w:cs="仿宋_GB2312" w:eastAsia="仿宋_GB2312"/>
              </w:rPr>
              <w:t>法人提供响应文件递交截止时间前一年内至少一个月依法缴纳税收的相关凭据（时间以税款所属日期为准，凭据应有税务机关或代收机关的公章或业务专用章）；其他组织和自然人提供缴纳税收的凭据；依法免税的供应商应提供相关文件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有依法缴纳社会保障资金的良好记录</w:t>
            </w:r>
          </w:p>
        </w:tc>
        <w:tc>
          <w:tcPr>
            <w:tcW w:type="dxa" w:w="3322"/>
          </w:tcPr>
          <w:p>
            <w:pPr>
              <w:pStyle w:val="null3"/>
            </w:pPr>
            <w:r>
              <w:rPr>
                <w:rFonts w:ascii="仿宋_GB2312" w:hAnsi="仿宋_GB2312" w:cs="仿宋_GB2312" w:eastAsia="仿宋_GB2312"/>
              </w:rPr>
              <w:t>提供响应文件递交截止时间前一年内至少一个月已缴纳的社会保障资金的凭据（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参加政府采购活动前三年内，在经营活动中没有重大违法记录</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法定代表人授权书、法定代表人身份证明合格</w:t>
            </w:r>
          </w:p>
        </w:tc>
        <w:tc>
          <w:tcPr>
            <w:tcW w:type="dxa" w:w="3322"/>
          </w:tcPr>
          <w:p>
            <w:pPr>
              <w:pStyle w:val="null3"/>
            </w:pPr>
            <w:r>
              <w:rPr>
                <w:rFonts w:ascii="仿宋_GB2312" w:hAnsi="仿宋_GB2312" w:cs="仿宋_GB2312" w:eastAsia="仿宋_GB2312"/>
              </w:rPr>
              <w:t>提供合格的法定代表人授权书（附法定代表人、被授权人身份证复印件）或法定代表人身份证明（法定代表人直接参加的）。</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信用承诺</w:t>
            </w:r>
          </w:p>
        </w:tc>
        <w:tc>
          <w:tcPr>
            <w:tcW w:type="dxa" w:w="3322"/>
          </w:tcPr>
          <w:p>
            <w:pPr>
              <w:pStyle w:val="null3"/>
            </w:pPr>
            <w:r>
              <w:rPr>
                <w:rFonts w:ascii="仿宋_GB2312" w:hAnsi="仿宋_GB2312" w:cs="仿宋_GB2312" w:eastAsia="仿宋_GB2312"/>
              </w:rPr>
              <w:t>提供未被“信用中国”网站（www.creditchina.gov.cn）列入失信被执行人或重大税收违法失信主体名单，未被财政部门在中国政府采购网（www.ccgp.gov.cn）政府采购严重违法失信行为记录名单中禁止参加政府采购活动的承诺。</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政府采购异常低价审查： 一、政府采购评审中出现下列情形之一的，磋商小组应当启动异常低价投标（响应）审查程序：1.投标（响应）报价低于全部通过符合性审查供应商投标（响应）报价平均值50%的，即投标（响应）报价&lt;全部通过符合性审查供应商投标（响应）报价平均值×50%；2.投标（响应）报价低于通过符合性审查的次低报价供应商投标（响应）报价50%的，即投标（响应）报价&lt;通过符合性审查的次低报价供应商投标（响应）报价×50%；3.投标（响应）报价低于采购项目最高限价45%的，即投标（响应）报价&lt;采购项目最高限价×45%；4.磋商小组基于专业判断，认为供应商报价过低，有可能影响产品质量或者不能诚信履约的其他情形。二、磋商小组启动异常低价投标（响应）审查后，属于前述第1项至第4项情形的，应当要求相关供应商在评审现场30分钟内对投标（响应）价格作出解释，提供项目具体成本测算等与报价合理性相关的书面说明及必要的证明材料，包括但不限于原材料成本、人工成本、制造费用等。其中，属于第3项情形，供应商已随投标（响应）文件一并提交相关书面说明及必要的证明材料的，在评审现场可不再重复提交。磋商小组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磋商小组应当将其作为无效投标（响应）处理}。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供应商名称与营业执照一致</w:t>
            </w:r>
          </w:p>
        </w:tc>
        <w:tc>
          <w:tcPr>
            <w:tcW w:type="dxa" w:w="3322"/>
          </w:tcPr>
          <w:p>
            <w:pPr>
              <w:pStyle w:val="null3"/>
            </w:pPr>
            <w:r>
              <w:rPr>
                <w:rFonts w:ascii="仿宋_GB2312" w:hAnsi="仿宋_GB2312" w:cs="仿宋_GB2312" w:eastAsia="仿宋_GB2312"/>
              </w:rPr>
              <w:t>供应商名称与营业执照一致（合格）供应商名称与营业执照不一致（不合格）</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响应文件按采购文件要求的数量、计量单位、报价货币及签字盖章</w:t>
            </w:r>
          </w:p>
        </w:tc>
        <w:tc>
          <w:tcPr>
            <w:tcW w:type="dxa" w:w="3322"/>
          </w:tcPr>
          <w:p>
            <w:pPr>
              <w:pStyle w:val="null3"/>
            </w:pPr>
            <w:r>
              <w:rPr>
                <w:rFonts w:ascii="仿宋_GB2312" w:hAnsi="仿宋_GB2312" w:cs="仿宋_GB2312" w:eastAsia="仿宋_GB2312"/>
              </w:rPr>
              <w:t>响应文件按采购文件要求的数量、计量单位、报价货币及签字盖章（合格）响应文件未按采购文件要求的数量、计量单位、报价货币及签字盖章（不合格）</w:t>
            </w:r>
          </w:p>
        </w:tc>
        <w:tc>
          <w:tcPr>
            <w:tcW w:type="dxa" w:w="1661"/>
          </w:tcPr>
          <w:p>
            <w:pPr>
              <w:pStyle w:val="null3"/>
            </w:pPr>
            <w:r>
              <w:rPr>
                <w:rFonts w:ascii="仿宋_GB2312" w:hAnsi="仿宋_GB2312" w:cs="仿宋_GB2312" w:eastAsia="仿宋_GB2312"/>
              </w:rPr>
              <w:t>响应文件封面 分项报价表.docx 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响应有效期达到采购文件要求</w:t>
            </w:r>
          </w:p>
        </w:tc>
        <w:tc>
          <w:tcPr>
            <w:tcW w:type="dxa" w:w="3322"/>
          </w:tcPr>
          <w:p>
            <w:pPr>
              <w:pStyle w:val="null3"/>
            </w:pPr>
            <w:r>
              <w:rPr>
                <w:rFonts w:ascii="仿宋_GB2312" w:hAnsi="仿宋_GB2312" w:cs="仿宋_GB2312" w:eastAsia="仿宋_GB2312"/>
              </w:rPr>
              <w:t>响应有效期达到采购文件要求（合格）响应有效期未达到采购文件要求（不合格）</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商务响应满足实质性要求</w:t>
            </w:r>
          </w:p>
        </w:tc>
        <w:tc>
          <w:tcPr>
            <w:tcW w:type="dxa" w:w="3322"/>
          </w:tcPr>
          <w:p>
            <w:pPr>
              <w:pStyle w:val="null3"/>
            </w:pPr>
            <w:r>
              <w:rPr>
                <w:rFonts w:ascii="仿宋_GB2312" w:hAnsi="仿宋_GB2312" w:cs="仿宋_GB2312" w:eastAsia="仿宋_GB2312"/>
              </w:rPr>
              <w:t>商务响应满足第三章3.3商务要求（合格），任意一条不满足（不合格）。</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符合法律、法规和采购文件中规定的其他实质性要求</w:t>
            </w:r>
          </w:p>
        </w:tc>
        <w:tc>
          <w:tcPr>
            <w:tcW w:type="dxa" w:w="3322"/>
          </w:tcPr>
          <w:p>
            <w:pPr>
              <w:pStyle w:val="null3"/>
            </w:pPr>
            <w:r>
              <w:rPr>
                <w:rFonts w:ascii="仿宋_GB2312" w:hAnsi="仿宋_GB2312" w:cs="仿宋_GB2312" w:eastAsia="仿宋_GB2312"/>
              </w:rPr>
              <w:t>符合法律、法规和采购文件中规定的其他实质性要求（合格）不符合法律、法规和采购文件中规定的其他实质性要求（不合格）</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技术响应</w:t>
            </w:r>
          </w:p>
        </w:tc>
        <w:tc>
          <w:tcPr>
            <w:tcW w:type="dxa" w:w="2492"/>
          </w:tcPr>
          <w:p>
            <w:pPr>
              <w:pStyle w:val="null3"/>
            </w:pPr>
            <w:r>
              <w:rPr>
                <w:rFonts w:ascii="仿宋_GB2312" w:hAnsi="仿宋_GB2312" w:cs="仿宋_GB2312" w:eastAsia="仿宋_GB2312"/>
              </w:rPr>
              <w:t>供应商服务响应完全满足磋商文件第三章“磋商项目技术、服务、商务及其他要求”第3.2.2条“服务要求”所列内容（共5项）的得20分，每有一项负偏离的扣4分，扣完为止，每有一项正偏离（供应商需提供支持性证明文件，否则不加分）的加1分，最高加5分。</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服务内容及服务要求应答表.docx</w:t>
            </w:r>
          </w:p>
        </w:tc>
      </w:tr>
      <w:tr>
        <w:tc>
          <w:tcPr>
            <w:tcW w:type="dxa" w:w="831"/>
            <w:vMerge/>
          </w:tcPr>
          <w:p/>
        </w:tc>
        <w:tc>
          <w:tcPr>
            <w:tcW w:type="dxa" w:w="1661"/>
          </w:tcPr>
          <w:p>
            <w:pPr>
              <w:pStyle w:val="null3"/>
            </w:pPr>
            <w:r>
              <w:rPr>
                <w:rFonts w:ascii="仿宋_GB2312" w:hAnsi="仿宋_GB2312" w:cs="仿宋_GB2312" w:eastAsia="仿宋_GB2312"/>
              </w:rPr>
              <w:t>送审服务方案</w:t>
            </w:r>
          </w:p>
        </w:tc>
        <w:tc>
          <w:tcPr>
            <w:tcW w:type="dxa" w:w="2492"/>
          </w:tcPr>
          <w:p>
            <w:pPr>
              <w:pStyle w:val="null3"/>
            </w:pPr>
            <w:r>
              <w:rPr>
                <w:rFonts w:ascii="仿宋_GB2312" w:hAnsi="仿宋_GB2312" w:cs="仿宋_GB2312" w:eastAsia="仿宋_GB2312"/>
              </w:rPr>
              <w:t>一、评审内容 供应商提供送审服务方案。 二、评审标准 1、完整性：方案须全面，对评审内容中的各项要求有详细描述； 2、可实施性：切合本项目实际情况，实施步骤清晰、合理； 3、针对性：方案能够紧扣项目实际情况，内容科学合理。 三、赋分依据 每完全满足一个评审标准得3分，基本满足一个评审标准得1.5分，满分9分，未提供不得分。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送审服务方案.docx</w:t>
            </w:r>
          </w:p>
        </w:tc>
      </w:tr>
      <w:tr>
        <w:tc>
          <w:tcPr>
            <w:tcW w:type="dxa" w:w="831"/>
            <w:vMerge/>
          </w:tcPr>
          <w:p/>
        </w:tc>
        <w:tc>
          <w:tcPr>
            <w:tcW w:type="dxa" w:w="1661"/>
          </w:tcPr>
          <w:p>
            <w:pPr>
              <w:pStyle w:val="null3"/>
            </w:pPr>
            <w:r>
              <w:rPr>
                <w:rFonts w:ascii="仿宋_GB2312" w:hAnsi="仿宋_GB2312" w:cs="仿宋_GB2312" w:eastAsia="仿宋_GB2312"/>
              </w:rPr>
              <w:t>平台故障解决方案</w:t>
            </w:r>
          </w:p>
        </w:tc>
        <w:tc>
          <w:tcPr>
            <w:tcW w:type="dxa" w:w="2492"/>
          </w:tcPr>
          <w:p>
            <w:pPr>
              <w:pStyle w:val="null3"/>
            </w:pPr>
            <w:r>
              <w:rPr>
                <w:rFonts w:ascii="仿宋_GB2312" w:hAnsi="仿宋_GB2312" w:cs="仿宋_GB2312" w:eastAsia="仿宋_GB2312"/>
              </w:rPr>
              <w:t>一、评审内容 供应商提供平台故障解决方案，如在使用过程中因软件自身问题导致校方无法正常使用，服务商应至少在1小时之内给予响应，24小时之内给出解决方案并排除故障。 二、评审标准 1、完整性：方案须全面，对评审内容中的各项要求有详细描述； 2、可实施性：切合本项目实际情况，实施步骤清晰、合理； 3、针对性：方案能够紧扣项目实际情况，内容科学合理。 三、赋分依据 每完全满足一个评审标准得2分，基本满足一个评审标准得1分，满分6分，未提供不得分。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平台故障解决方案.docx</w:t>
            </w:r>
          </w:p>
        </w:tc>
      </w:tr>
      <w:tr>
        <w:tc>
          <w:tcPr>
            <w:tcW w:type="dxa" w:w="831"/>
            <w:vMerge/>
          </w:tcPr>
          <w:p/>
        </w:tc>
        <w:tc>
          <w:tcPr>
            <w:tcW w:type="dxa" w:w="1661"/>
          </w:tcPr>
          <w:p>
            <w:pPr>
              <w:pStyle w:val="null3"/>
            </w:pPr>
            <w:r>
              <w:rPr>
                <w:rFonts w:ascii="仿宋_GB2312" w:hAnsi="仿宋_GB2312" w:cs="仿宋_GB2312" w:eastAsia="仿宋_GB2312"/>
              </w:rPr>
              <w:t>送审进度保证措施</w:t>
            </w:r>
          </w:p>
        </w:tc>
        <w:tc>
          <w:tcPr>
            <w:tcW w:type="dxa" w:w="2492"/>
          </w:tcPr>
          <w:p>
            <w:pPr>
              <w:pStyle w:val="null3"/>
            </w:pPr>
            <w:r>
              <w:rPr>
                <w:rFonts w:ascii="仿宋_GB2312" w:hAnsi="仿宋_GB2312" w:cs="仿宋_GB2312" w:eastAsia="仿宋_GB2312"/>
              </w:rPr>
              <w:t>一、评审内容 供应商提供送审进度保证措施。 二、评审标准 1、完整性：方案须全面，对评审内容中的各项要求有详细描述； 2、可实施性：切合本项目实际情况，实施步骤清晰、合理； 3、针对性：方案能够紧扣项目实际情况，内容科学合理。 三、赋分依据 每完全满足一个评审标准得2分，基本满足一个评审标准得1分，满分6分，未提供不得分。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送审进度保证措施.docx</w:t>
            </w:r>
          </w:p>
        </w:tc>
      </w:tr>
      <w:tr>
        <w:tc>
          <w:tcPr>
            <w:tcW w:type="dxa" w:w="831"/>
            <w:vMerge/>
          </w:tcPr>
          <w:p/>
        </w:tc>
        <w:tc>
          <w:tcPr>
            <w:tcW w:type="dxa" w:w="1661"/>
          </w:tcPr>
          <w:p>
            <w:pPr>
              <w:pStyle w:val="null3"/>
            </w:pPr>
            <w:r>
              <w:rPr>
                <w:rFonts w:ascii="仿宋_GB2312" w:hAnsi="仿宋_GB2312" w:cs="仿宋_GB2312" w:eastAsia="仿宋_GB2312"/>
              </w:rPr>
              <w:t>服务质量保障方案</w:t>
            </w:r>
          </w:p>
        </w:tc>
        <w:tc>
          <w:tcPr>
            <w:tcW w:type="dxa" w:w="2492"/>
          </w:tcPr>
          <w:p>
            <w:pPr>
              <w:pStyle w:val="null3"/>
            </w:pPr>
            <w:r>
              <w:rPr>
                <w:rFonts w:ascii="仿宋_GB2312" w:hAnsi="仿宋_GB2312" w:cs="仿宋_GB2312" w:eastAsia="仿宋_GB2312"/>
              </w:rPr>
              <w:t>一、评审内容 供应商提供服务质量保障方案。 二、评审标准 1、完整性：方案须全面，对评审内容中的各项要求有详细描述； 2、可实施性：切合本项目实际情况，实施步骤清晰、合理； 3、针对性：方案能够紧扣项目实际情况，内容科学合理。 三、赋分依据 每完全满足一个评审标准得2分，基本满足一个评审标准得1分，满分6分，未提供不得分。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服务质量保障方案.docx</w:t>
            </w:r>
          </w:p>
        </w:tc>
      </w:tr>
      <w:tr>
        <w:tc>
          <w:tcPr>
            <w:tcW w:type="dxa" w:w="831"/>
            <w:vMerge/>
          </w:tcPr>
          <w:p/>
        </w:tc>
        <w:tc>
          <w:tcPr>
            <w:tcW w:type="dxa" w:w="1661"/>
          </w:tcPr>
          <w:p>
            <w:pPr>
              <w:pStyle w:val="null3"/>
            </w:pPr>
            <w:r>
              <w:rPr>
                <w:rFonts w:ascii="仿宋_GB2312" w:hAnsi="仿宋_GB2312" w:cs="仿宋_GB2312" w:eastAsia="仿宋_GB2312"/>
              </w:rPr>
              <w:t>人员配备方案</w:t>
            </w:r>
          </w:p>
        </w:tc>
        <w:tc>
          <w:tcPr>
            <w:tcW w:type="dxa" w:w="2492"/>
          </w:tcPr>
          <w:p>
            <w:pPr>
              <w:pStyle w:val="null3"/>
            </w:pPr>
            <w:r>
              <w:rPr>
                <w:rFonts w:ascii="仿宋_GB2312" w:hAnsi="仿宋_GB2312" w:cs="仿宋_GB2312" w:eastAsia="仿宋_GB2312"/>
              </w:rPr>
              <w:t>一、评审内容 供应商提供人员配备方案。 二、评审标准 1、完整性：方案须全面，对评审内容中的各项要求有详细描述； 2、可实施性：切合本项目实际情况，实施步骤清晰、合理； 3、针对性：方案能够紧扣项目实际情况，内容科学合理。 三、赋分依据 每完全满足一个评审标准得2分，基本满足一个评审标准得1分，满分6分，未提供不得分。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人员配备方案.docx</w:t>
            </w:r>
          </w:p>
        </w:tc>
      </w:tr>
      <w:tr>
        <w:tc>
          <w:tcPr>
            <w:tcW w:type="dxa" w:w="831"/>
            <w:vMerge/>
          </w:tcPr>
          <w:p/>
        </w:tc>
        <w:tc>
          <w:tcPr>
            <w:tcW w:type="dxa" w:w="1661"/>
          </w:tcPr>
          <w:p>
            <w:pPr>
              <w:pStyle w:val="null3"/>
            </w:pPr>
            <w:r>
              <w:rPr>
                <w:rFonts w:ascii="仿宋_GB2312" w:hAnsi="仿宋_GB2312" w:cs="仿宋_GB2312" w:eastAsia="仿宋_GB2312"/>
              </w:rPr>
              <w:t>保密措施</w:t>
            </w:r>
          </w:p>
        </w:tc>
        <w:tc>
          <w:tcPr>
            <w:tcW w:type="dxa" w:w="2492"/>
          </w:tcPr>
          <w:p>
            <w:pPr>
              <w:pStyle w:val="null3"/>
            </w:pPr>
            <w:r>
              <w:rPr>
                <w:rFonts w:ascii="仿宋_GB2312" w:hAnsi="仿宋_GB2312" w:cs="仿宋_GB2312" w:eastAsia="仿宋_GB2312"/>
              </w:rPr>
              <w:t>一、评审内容 供应商提供保密措施，包括学生信息、论文信息、评阅结果等。 二、评审标准 1、完整性：方案须全面，对评审内容中的各项要求有详细描述； 2、可实施性：切合本项目实际情况，实施步骤清晰、合理； 3、针对性：方案能够紧扣项目实际情况，内容科学合理。 三、赋分依据 每完全满足一个评审标准得1分，基本满足一个评审标准得0.5分，满分3分，未提供不得分。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保密措施.docx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 供应商提供售后服务方案。 二、评审标准 1、完整性：方案须全面，对评审内容中的各项要求有详细描述； 2、可实施性：切合本项目实际情况，实施步骤清晰、合理； 3、针对性：方案能够紧扣项目实际情况，内容科学合理。 三、赋分依据 每完全满足一个评审标准得1分，基本满足一个评审标准得0.5分，满分3分，未提供不得分。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供应商自2023年3月1日以来（以合同签订时间为准）类似项目业绩（提供完整合同复印件），每提供一份得1.5分，满分6分。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 即满足磋商文件要求且价格（价格扣除后，详见后文）最低的报价为磋商基准价，其价格分为满分。其他响应单位的价格分统一按照下列公式计算：磋商报价得分=（磋商基准价/磋商报价）×价格分值</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详见附件：服务内容及服务要求应答表.docx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详见附件：送审服务方案.docx</w:t>
      </w:r>
    </w:p>
    <w:p>
      <w:pPr>
        <w:pStyle w:val="null3"/>
        <w:ind w:firstLine="960"/>
      </w:pPr>
      <w:r>
        <w:rPr>
          <w:rFonts w:ascii="仿宋_GB2312" w:hAnsi="仿宋_GB2312" w:cs="仿宋_GB2312" w:eastAsia="仿宋_GB2312"/>
        </w:rPr>
        <w:t>详见附件：平台故障解决方案.docx</w:t>
      </w:r>
    </w:p>
    <w:p>
      <w:pPr>
        <w:pStyle w:val="null3"/>
        <w:ind w:firstLine="960"/>
      </w:pPr>
      <w:r>
        <w:rPr>
          <w:rFonts w:ascii="仿宋_GB2312" w:hAnsi="仿宋_GB2312" w:cs="仿宋_GB2312" w:eastAsia="仿宋_GB2312"/>
        </w:rPr>
        <w:t>详见附件：送审进度保证措施.docx</w:t>
      </w:r>
    </w:p>
    <w:p>
      <w:pPr>
        <w:pStyle w:val="null3"/>
        <w:ind w:firstLine="960"/>
      </w:pPr>
      <w:r>
        <w:rPr>
          <w:rFonts w:ascii="仿宋_GB2312" w:hAnsi="仿宋_GB2312" w:cs="仿宋_GB2312" w:eastAsia="仿宋_GB2312"/>
        </w:rPr>
        <w:t>详见附件：服务质量保障方案.docx</w:t>
      </w:r>
    </w:p>
    <w:p>
      <w:pPr>
        <w:pStyle w:val="null3"/>
        <w:ind w:firstLine="960"/>
      </w:pPr>
      <w:r>
        <w:rPr>
          <w:rFonts w:ascii="仿宋_GB2312" w:hAnsi="仿宋_GB2312" w:cs="仿宋_GB2312" w:eastAsia="仿宋_GB2312"/>
        </w:rPr>
        <w:t>详见附件：人员配备方案.docx</w:t>
      </w:r>
    </w:p>
    <w:p>
      <w:pPr>
        <w:pStyle w:val="null3"/>
        <w:ind w:firstLine="960"/>
      </w:pPr>
      <w:r>
        <w:rPr>
          <w:rFonts w:ascii="仿宋_GB2312" w:hAnsi="仿宋_GB2312" w:cs="仿宋_GB2312" w:eastAsia="仿宋_GB2312"/>
        </w:rPr>
        <w:t>详见附件：保密措施.docx</w:t>
      </w:r>
    </w:p>
    <w:p>
      <w:pPr>
        <w:pStyle w:val="null3"/>
        <w:ind w:firstLine="960"/>
      </w:pPr>
      <w:r>
        <w:rPr>
          <w:rFonts w:ascii="仿宋_GB2312" w:hAnsi="仿宋_GB2312" w:cs="仿宋_GB2312" w:eastAsia="仿宋_GB2312"/>
        </w:rPr>
        <w:t>详见附件：售后服务方案.docx</w:t>
      </w:r>
    </w:p>
    <w:p>
      <w:pPr>
        <w:pStyle w:val="null3"/>
        <w:ind w:firstLine="960"/>
      </w:pPr>
      <w:r>
        <w:rPr>
          <w:rFonts w:ascii="仿宋_GB2312" w:hAnsi="仿宋_GB2312" w:cs="仿宋_GB2312" w:eastAsia="仿宋_GB2312"/>
        </w:rPr>
        <w:t>详见附件：业绩.docx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详见附件：【论文】服务采购合同.docx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