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版本号：SCZE2026-ZB-0536-00120260325001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产汇流综合实验系统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SCZE2026-ZB-0536-001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产汇流综合实验系统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SCZE2026-ZB-0536-001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产汇流综合实验系统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该系统是一款定制的实验教学系统，主要由下垫面系统、降雨系统、水沙调控系统、坡面产流测量系统组成。该系统通过对降雨循环过程的模拟，对整个过程的降雨、下渗、产流和汇流各环节可视化展示，同时可满足全过程的监测和记录，如降雨量、雨强、流速、泥沙自动检测等指标，切可进行智能化操作控制。可满足同一时间不同雨强在不同流域的降雨、渗、产流和汇流变化的实验需求。该套设备更有利于《水文测验》《水文学原理》《水文气象学》实验教学的开展和实施，更好的服务于智慧水利发展。具体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采购包1（产汇流综合实验系统）：属于专门面向中小企业采购。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1、授权委托书或法人身份证明：法定代表人或单位负责人参加投标的，应提供法定代表人或单位负责人身份证明； 授权代表参加投标的，应提供法定代表人或单位负责人身份证明、授权委托书及授权代表在本单位缴纳养老保险证明。</w:t>
      </w:r>
    </w:p>
    <w:p>
      <w:pPr>
        <w:pStyle w:val="null3"/>
      </w:pPr>
      <w:r>
        <w:rPr>
          <w:rFonts w:ascii="仿宋_GB2312" w:hAnsi="仿宋_GB2312" w:cs="仿宋_GB2312" w:eastAsia="仿宋_GB2312"/>
        </w:rPr>
        <w:t>2、“信用中国”网站和中国政府采购网（www.ccgp.gov.cn）查询记录：供应商未被列入“信用中国”网站(www.creditchina.gov.cn)“失信被执行人”、“重大税收违法失信主体”记录名单；不处于中国政府采购网(www.ccgp.gov.cn)“政府采购严重违法失信行为信息记录”中。 （以代理机构于开启投标文件当天进行资格审查时在“信用中国”网站（www.creditchina.gov.cn）及中国政府采购网(www.ccgp.gov.cn)查询结果为准）。</w:t>
      </w:r>
    </w:p>
    <w:p>
      <w:pPr>
        <w:pStyle w:val="null3"/>
      </w:pPr>
      <w:r>
        <w:rPr>
          <w:rFonts w:ascii="仿宋_GB2312" w:hAnsi="仿宋_GB2312" w:cs="仿宋_GB2312" w:eastAsia="仿宋_GB2312"/>
        </w:rPr>
        <w:t>3、其他情形：单位负责人为同一人或者存在直接控股、管理关系的不同供应商不得参加同一项目的政府采购活动；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姜旭耀、马超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银行账号：103661558327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说明：供应商成交后凭成交通知书向采购人缴纳成交金额的5%作为履约保证金，形式不限于支票、汇票、本票、保函等非现金形式缴纳。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代理服务费收费标准：（1）本项目收取代理服务费 代理服务费用收取对象：中标/成交供应商 代理服务费收费标准：1.成交服务费参照国家计委颁发的《招标代理服务收费管理暂行办法》（计价格[2002]1980号）及（发改办价格[2011]534号）的规定下浮50%计取。 （2）代理服务费交纳信息：银行户名：陕西省采购招标有限责任公司，开户银行：中国光大银行西安友谊路支行， 账号：78560188000095264， 联系人：财务部， 联系电话：029-85256853。 （3）中标单位在领取中标通知书前，须向招标代理机构一次性支付招标代理服务费。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达到使用条件时由采购单位负责组织验收，或者邀请有关专家、质检机构共同进行验收;验收合格须交接项目实施的全部资料，并填写政府采购项目验收报告单。验收须以合同、招标文件及投标文件、澄清、及国家相应的标准、规范等为依据。 验收标准：（1）合同文本、合同附件、投标文件、招标文件； （2）国内相应的标准、规范； （3）其他适用的依据。</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地址：西安市高新区锦业一路1号都市之门C座9层综合办公室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该系统是一款定制的实验教学系统，主要由下垫面系统、降雨系统、水沙调控系统、坡面产流测量系统组成。该系统通过对降雨循环过程的模拟，对整个过程的降雨、下渗、产流和汇流各环节可视化展示，同时可满足全过程的监测和记录，如降雨量、雨强、流速、泥沙自动检测等指标，切可进行智能化操作控制。可满足同一时间不同雨强在不同流域的降雨、渗、产流和汇流变化的实验需求。该套设备更有利于《水文测验》《水文学原理》《水文气象学》实验教学的开展和实施，更好的服务于智慧水利发展。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产汇流综合实验系统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标的名称：产汇流综合实验系统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组成类别</w:t>
                  </w:r>
                </w:p>
              </w:tc>
              <w:tc>
                <w:tcPr>
                  <w:tcW w:type="dxa" w:w="638"/>
                </w:tcPr>
                <w:p>
                  <w:pPr>
                    <w:pStyle w:val="null3"/>
                  </w:pPr>
                  <w:r>
                    <w:rPr>
                      <w:rFonts w:ascii="仿宋_GB2312" w:hAnsi="仿宋_GB2312" w:cs="仿宋_GB2312" w:eastAsia="仿宋_GB2312"/>
                    </w:rPr>
                    <w:t>数量（台套）</w:t>
                  </w:r>
                </w:p>
              </w:tc>
              <w:tc>
                <w:tcPr>
                  <w:tcW w:type="dxa" w:w="638"/>
                </w:tcPr>
                <w:p>
                  <w:pPr>
                    <w:pStyle w:val="null3"/>
                  </w:pPr>
                  <w:r>
                    <w:rPr>
                      <w:rFonts w:ascii="仿宋_GB2312" w:hAnsi="仿宋_GB2312" w:cs="仿宋_GB2312" w:eastAsia="仿宋_GB2312"/>
                    </w:rPr>
                    <w:t>单套配置清单</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人工模拟降雨系统（核心产品）</w:t>
                  </w:r>
                </w:p>
              </w:tc>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降雨管路3套、降雨支架3套、动力系统3套、喷头组件216套、控制柜台3台、控制系统3套、精密过滤器1套、水箱1套、激光雨滴谱仪1套。</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下垫面模型系统</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坡面产流测量系统</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土壤水分传感器8套、液位传感器 4 套、坡面流速监测装置4套、管式流量计4套、数据采集终端1套。</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水沙调控系统</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泥沙传感器1套、雷达液位计1套、水土流失机箱1套、数据采集1套。</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安全辅助模块</w:t>
                  </w:r>
                </w:p>
              </w:tc>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 xml:space="preserve"> 序号</w:t>
                  </w:r>
                </w:p>
              </w:tc>
              <w:tc>
                <w:tcPr>
                  <w:tcW w:type="dxa" w:w="851"/>
                </w:tcPr>
                <w:p>
                  <w:pPr>
                    <w:pStyle w:val="null3"/>
                  </w:pPr>
                  <w:r>
                    <w:rPr>
                      <w:rFonts w:ascii="仿宋_GB2312" w:hAnsi="仿宋_GB2312" w:cs="仿宋_GB2312" w:eastAsia="仿宋_GB2312"/>
                    </w:rPr>
                    <w:t xml:space="preserve"> 参数性质</w:t>
                  </w:r>
                </w:p>
              </w:tc>
              <w:tc>
                <w:tcPr>
                  <w:tcW w:type="dxa" w:w="851"/>
                </w:tcPr>
                <w:p>
                  <w:pPr>
                    <w:pStyle w:val="null3"/>
                  </w:pPr>
                  <w:r>
                    <w:rPr>
                      <w:rFonts w:ascii="仿宋_GB2312" w:hAnsi="仿宋_GB2312" w:cs="仿宋_GB2312" w:eastAsia="仿宋_GB2312"/>
                    </w:rPr>
                    <w:t xml:space="preserve"> 技术参数与性能指标</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人工模拟降雨系统</w:t>
                  </w:r>
                </w:p>
                <w:p>
                  <w:pPr>
                    <w:pStyle w:val="null3"/>
                  </w:pPr>
                  <w:r>
                    <w:rPr>
                      <w:rFonts w:ascii="仿宋_GB2312" w:hAnsi="仿宋_GB2312" w:cs="仿宋_GB2312" w:eastAsia="仿宋_GB2312"/>
                    </w:rPr>
                    <w:t>（1）降雨器技术参数：</w:t>
                  </w:r>
                </w:p>
                <w:p>
                  <w:pPr>
                    <w:pStyle w:val="null3"/>
                  </w:pPr>
                  <w:r>
                    <w:rPr>
                      <w:rFonts w:ascii="仿宋_GB2312" w:hAnsi="仿宋_GB2312" w:cs="仿宋_GB2312" w:eastAsia="仿宋_GB2312"/>
                    </w:rPr>
                    <w:t>1）有效降雨面积≥45㎡（分为三个独立区域）；</w:t>
                  </w:r>
                </w:p>
                <w:p>
                  <w:pPr>
                    <w:pStyle w:val="null3"/>
                  </w:pPr>
                  <w:r>
                    <w:rPr>
                      <w:rFonts w:ascii="仿宋_GB2312" w:hAnsi="仿宋_GB2312" w:cs="仿宋_GB2312" w:eastAsia="仿宋_GB2312"/>
                    </w:rPr>
                    <w:t>2）降雨高度：≥4m（生产安装时根据结构高度重新调整）；</w:t>
                  </w:r>
                </w:p>
                <w:p>
                  <w:pPr>
                    <w:pStyle w:val="null3"/>
                  </w:pPr>
                  <w:r>
                    <w:rPr>
                      <w:rFonts w:ascii="仿宋_GB2312" w:hAnsi="仿宋_GB2312" w:cs="仿宋_GB2312" w:eastAsia="仿宋_GB2312"/>
                    </w:rPr>
                    <w:t>▲3）雨强连续变化范围：15-100mm/h，降雨调节精度：±5%；每个独立区域，在三区相同时雨强分布均匀度≥85%；</w:t>
                  </w:r>
                </w:p>
                <w:p>
                  <w:pPr>
                    <w:pStyle w:val="null3"/>
                  </w:pPr>
                  <w:r>
                    <w:rPr>
                      <w:rFonts w:ascii="仿宋_GB2312" w:hAnsi="仿宋_GB2312" w:cs="仿宋_GB2312" w:eastAsia="仿宋_GB2312"/>
                    </w:rPr>
                    <w:t>▲4）雨滴大小调控范围：0.5-1.5mm；（根据实际降雨需求调整）</w:t>
                  </w:r>
                </w:p>
                <w:p>
                  <w:pPr>
                    <w:pStyle w:val="null3"/>
                  </w:pPr>
                  <w:r>
                    <w:rPr>
                      <w:rFonts w:ascii="仿宋_GB2312" w:hAnsi="仿宋_GB2312" w:cs="仿宋_GB2312" w:eastAsia="仿宋_GB2312"/>
                    </w:rPr>
                    <w:t>▲5）柜式控制台，≥10寸液晶显示数据及雨强值和雨强曲线；</w:t>
                  </w:r>
                </w:p>
                <w:p>
                  <w:pPr>
                    <w:pStyle w:val="null3"/>
                  </w:pPr>
                  <w:r>
                    <w:rPr>
                      <w:rFonts w:ascii="仿宋_GB2312" w:hAnsi="仿宋_GB2312" w:cs="仿宋_GB2312" w:eastAsia="仿宋_GB2312"/>
                    </w:rPr>
                    <w:t>▲6）控制系统为DCS全自动控制模式，每个独立区域可分三区控制，三区降雨，一键启动；</w:t>
                  </w:r>
                </w:p>
                <w:p>
                  <w:pPr>
                    <w:pStyle w:val="null3"/>
                  </w:pPr>
                  <w:r>
                    <w:rPr>
                      <w:rFonts w:ascii="仿宋_GB2312" w:hAnsi="仿宋_GB2312" w:cs="仿宋_GB2312" w:eastAsia="仿宋_GB2312"/>
                    </w:rPr>
                    <w:t>7）激光雨滴谱仪：可输出主要数据：降雨量，降雨速度，降雨粒径大小，降雨强度，降雨等级（SYNOP/METAR），雷达校正（Z/R Ratio），能见度（MOR）；可选输出数据：风速，风向，空气温度，相对湿度；测量粒径范围：0.16-8 mm；粒子速度范围：0.2 -20 m/s；最小强度：0.005 mm/h；最大强度：250 mm/h；测量区域：不小于45 cm²；防护等级：不低于IP 65；外箱材质：不锈钢制；</w:t>
                  </w:r>
                </w:p>
                <w:p>
                  <w:pPr>
                    <w:pStyle w:val="null3"/>
                  </w:pPr>
                  <w:r>
                    <w:rPr>
                      <w:rFonts w:ascii="仿宋_GB2312" w:hAnsi="仿宋_GB2312" w:cs="仿宋_GB2312" w:eastAsia="仿宋_GB2312"/>
                    </w:rPr>
                    <w:t>8）水泵：性能参数满足设计数量需求；材质要求：泵体不低于304不锈钢，叶轮不低于304不锈钢；防护等级不低于IP55；</w:t>
                  </w:r>
                </w:p>
                <w:p>
                  <w:pPr>
                    <w:pStyle w:val="null3"/>
                  </w:pPr>
                  <w:r>
                    <w:rPr>
                      <w:rFonts w:ascii="仿宋_GB2312" w:hAnsi="仿宋_GB2312" w:cs="仿宋_GB2312" w:eastAsia="仿宋_GB2312"/>
                    </w:rPr>
                    <w:t>（2）动力系统：</w:t>
                  </w:r>
                </w:p>
                <w:p>
                  <w:pPr>
                    <w:pStyle w:val="null3"/>
                  </w:pPr>
                  <w:r>
                    <w:rPr>
                      <w:rFonts w:ascii="仿宋_GB2312" w:hAnsi="仿宋_GB2312" w:cs="仿宋_GB2312" w:eastAsia="仿宋_GB2312"/>
                    </w:rPr>
                    <w:t>1）动力系统需采用变频设计，通过调节自动进水阀、电动调节阀等部件调节系统开度，实现自动调节流量功能；</w:t>
                  </w:r>
                </w:p>
                <w:p>
                  <w:pPr>
                    <w:pStyle w:val="null3"/>
                  </w:pPr>
                  <w:r>
                    <w:rPr>
                      <w:rFonts w:ascii="仿宋_GB2312" w:hAnsi="仿宋_GB2312" w:cs="仿宋_GB2312" w:eastAsia="仿宋_GB2312"/>
                    </w:rPr>
                    <w:t>2）动力系统转速≥2200转/分；功率：≥1KW；流量：≥12m3/小时；扬程：≥15米；</w:t>
                  </w:r>
                </w:p>
                <w:p>
                  <w:pPr>
                    <w:pStyle w:val="null3"/>
                  </w:pPr>
                  <w:r>
                    <w:rPr>
                      <w:rFonts w:ascii="仿宋_GB2312" w:hAnsi="仿宋_GB2312" w:cs="仿宋_GB2312" w:eastAsia="仿宋_GB2312"/>
                    </w:rPr>
                    <w:t>3）自动进水阀需为铜质，DN≥50mm。</w:t>
                  </w:r>
                </w:p>
                <w:p>
                  <w:pPr>
                    <w:pStyle w:val="null3"/>
                  </w:pPr>
                  <w:r>
                    <w:rPr>
                      <w:rFonts w:ascii="仿宋_GB2312" w:hAnsi="仿宋_GB2312" w:cs="仿宋_GB2312" w:eastAsia="仿宋_GB2312"/>
                    </w:rPr>
                    <w:t>（3）管路系统：</w:t>
                  </w:r>
                </w:p>
                <w:p>
                  <w:pPr>
                    <w:pStyle w:val="null3"/>
                  </w:pPr>
                  <w:r>
                    <w:rPr>
                      <w:rFonts w:ascii="仿宋_GB2312" w:hAnsi="仿宋_GB2312" w:cs="仿宋_GB2312" w:eastAsia="仿宋_GB2312"/>
                    </w:rPr>
                    <w:t>1）整个管路系统除接头外，材质要求镀锌管材防腐防锈，管路系统形成后，有效降雨面积不小于45平米；系统全部采用镀锌管材要求防腐防锈，各管路测控部件采用活接式连接；</w:t>
                  </w:r>
                </w:p>
                <w:p>
                  <w:pPr>
                    <w:pStyle w:val="null3"/>
                  </w:pPr>
                  <w:r>
                    <w:rPr>
                      <w:rFonts w:ascii="仿宋_GB2312" w:hAnsi="仿宋_GB2312" w:cs="仿宋_GB2312" w:eastAsia="仿宋_GB2312"/>
                    </w:rPr>
                    <w:t>2）顶部降雨喷头需采用旋转下喷喷头，每组喷头需包含至少0.5mm，0.8mm，1.0mm、1.5mm 4种规格的喷头组合降雨，可形成从小到大的雨强连续可调，满足降雨方式≥7种，雨滴形态，降雨均匀度与自然降雨相似的人工自动模拟降雨，支持调整；</w:t>
                  </w:r>
                </w:p>
                <w:p>
                  <w:pPr>
                    <w:pStyle w:val="null3"/>
                  </w:pPr>
                  <w:r>
                    <w:rPr>
                      <w:rFonts w:ascii="仿宋_GB2312" w:hAnsi="仿宋_GB2312" w:cs="仿宋_GB2312" w:eastAsia="仿宋_GB2312"/>
                    </w:rPr>
                    <w:t>3）系统材质要求镀锌管材防腐防锈，各管路测控部件采用活接式连接；</w:t>
                  </w:r>
                </w:p>
                <w:p>
                  <w:pPr>
                    <w:pStyle w:val="null3"/>
                  </w:pPr>
                  <w:r>
                    <w:rPr>
                      <w:rFonts w:ascii="仿宋_GB2312" w:hAnsi="仿宋_GB2312" w:cs="仿宋_GB2312" w:eastAsia="仿宋_GB2312"/>
                    </w:rPr>
                    <w:t>4）主供水管采用一侧平衡供水，形成每组喷头优于间距≥1米，使各喷头压力平衡；</w:t>
                  </w:r>
                </w:p>
                <w:p>
                  <w:pPr>
                    <w:pStyle w:val="null3"/>
                  </w:pPr>
                  <w:r>
                    <w:rPr>
                      <w:rFonts w:ascii="仿宋_GB2312" w:hAnsi="仿宋_GB2312" w:cs="仿宋_GB2312" w:eastAsia="仿宋_GB2312"/>
                    </w:rPr>
                    <w:t>5）每个降雨喷头需直接连接一个电磁控制阀，可实现阀门关闭即停雨（不存在滴水现象）；</w:t>
                  </w:r>
                </w:p>
                <w:p>
                  <w:pPr>
                    <w:pStyle w:val="null3"/>
                  </w:pPr>
                  <w:r>
                    <w:rPr>
                      <w:rFonts w:ascii="仿宋_GB2312" w:hAnsi="仿宋_GB2312" w:cs="仿宋_GB2312" w:eastAsia="仿宋_GB2312"/>
                    </w:rPr>
                    <w:t>6）电磁阀DN≥15mm，极限压力≥0.8MP，铜制；采用DC24v供电、单个电磁阀功率≤4.8W；</w:t>
                  </w:r>
                </w:p>
                <w:p>
                  <w:pPr>
                    <w:pStyle w:val="null3"/>
                  </w:pPr>
                  <w:r>
                    <w:rPr>
                      <w:rFonts w:ascii="仿宋_GB2312" w:hAnsi="仿宋_GB2312" w:cs="仿宋_GB2312" w:eastAsia="仿宋_GB2312"/>
                    </w:rPr>
                    <w:t>（4）控制系统：</w:t>
                  </w:r>
                </w:p>
                <w:p>
                  <w:pPr>
                    <w:pStyle w:val="null3"/>
                  </w:pPr>
                  <w:r>
                    <w:rPr>
                      <w:rFonts w:ascii="仿宋_GB2312" w:hAnsi="仿宋_GB2312" w:cs="仿宋_GB2312" w:eastAsia="仿宋_GB2312"/>
                    </w:rPr>
                    <w:t>1）柜式控制台尺寸≥1150x700x600mm，需能实现控制台综合控制降雨的全过程；</w:t>
                  </w:r>
                </w:p>
                <w:p>
                  <w:pPr>
                    <w:pStyle w:val="null3"/>
                  </w:pPr>
                  <w:r>
                    <w:rPr>
                      <w:rFonts w:ascii="仿宋_GB2312" w:hAnsi="仿宋_GB2312" w:cs="仿宋_GB2312" w:eastAsia="仿宋_GB2312"/>
                    </w:rPr>
                    <w:t>▲2）模拟降雨自动控制中心：功能包含开闭、启动停止、显示雨强、压力、倒计时等，采用PLC作为控制中心，各模块间通讯采用国际通用modbus RTU通讯。可进行雨强采集和停止采集操作，以曲线形式展示每个时间点对应的雨强，并可导出数据，检索历史数据。系统算法设计实时数据采集：通过与雨量计实时连接，系统能够获取降雨现场的实际降雨强度值，并进行实时更新。</w:t>
                  </w:r>
                </w:p>
                <w:p>
                  <w:pPr>
                    <w:pStyle w:val="null3"/>
                  </w:pPr>
                  <w:r>
                    <w:rPr>
                      <w:rFonts w:ascii="仿宋_GB2312" w:hAnsi="仿宋_GB2312" w:cs="仿宋_GB2312" w:eastAsia="仿宋_GB2312"/>
                    </w:rPr>
                    <w:t>反馈控制算法：系统采用反馈调控算法，将实时采集到的降雨强度平均值作为反馈控制信号，与实验设定的雨强值进行对比分析，通过不断调整降雨设备的运行参数，在整个降雨期内反复逼近设定的雨强值，实现真实、准确、稳定的降雨过程控制。</w:t>
                  </w:r>
                </w:p>
                <w:p>
                  <w:pPr>
                    <w:pStyle w:val="null3"/>
                  </w:pPr>
                  <w:r>
                    <w:rPr>
                      <w:rFonts w:ascii="仿宋_GB2312" w:hAnsi="仿宋_GB2312" w:cs="仿宋_GB2312" w:eastAsia="仿宋_GB2312"/>
                    </w:rPr>
                    <w:t>算法优化与升级：系统预留算法升级接口，对反馈调控算法进行优化和升级。</w:t>
                  </w:r>
                </w:p>
                <w:p>
                  <w:pPr>
                    <w:pStyle w:val="null3"/>
                  </w:pPr>
                  <w:r>
                    <w:rPr>
                      <w:rFonts w:ascii="仿宋_GB2312" w:hAnsi="仿宋_GB2312" w:cs="仿宋_GB2312" w:eastAsia="仿宋_GB2312"/>
                    </w:rPr>
                    <w:t>▲3）降雨集成到一个控制柜，能精准控制全域及各分区的降雨强度、模拟不同的降雨雨型（如芝加哥雨型、昆山雨型等），并支持参数的保存与快速调用；集成全面数据监测功能，可实时采集并直观展示沙盘模型中的土壤含水率、液位、下渗、泥沙量、流量等关键水土流失数据，具备历史数据查询、保存与表格化呈现等功能，实现从降雨模拟到数据采集分析一体化、智能化管理。</w:t>
                  </w:r>
                </w:p>
                <w:p>
                  <w:pPr>
                    <w:pStyle w:val="null3"/>
                    <w:numPr>
                      <w:ilvl w:val="0"/>
                      <w:numId w:val="1"/>
                    </w:numPr>
                  </w:pPr>
                  <w:r>
                    <w:rPr>
                      <w:rFonts w:ascii="仿宋_GB2312" w:hAnsi="仿宋_GB2312" w:cs="仿宋_GB2312" w:eastAsia="仿宋_GB2312"/>
                    </w:rPr>
                    <w:t>雨量计：分辨率≤0.2mm，材质为国标不锈钢，需能实时获得降雨现场实时动态实际降雨强度值。</w:t>
                  </w:r>
                </w:p>
                <w:p>
                  <w:pPr>
                    <w:pStyle w:val="null3"/>
                  </w:pPr>
                  <w:r>
                    <w:rPr>
                      <w:rFonts w:ascii="仿宋_GB2312" w:hAnsi="仿宋_GB2312" w:cs="仿宋_GB2312" w:eastAsia="仿宋_GB2312"/>
                    </w:rPr>
                    <w:t>（5）配置要求</w:t>
                  </w:r>
                </w:p>
                <w:p>
                  <w:pPr>
                    <w:pStyle w:val="null3"/>
                  </w:pPr>
                  <w:r>
                    <w:rPr>
                      <w:rFonts w:ascii="仿宋_GB2312" w:hAnsi="仿宋_GB2312" w:cs="仿宋_GB2312" w:eastAsia="仿宋_GB2312"/>
                    </w:rPr>
                    <w:t>降雨管路3套、降雨支架3套、动力系统3套、喷头组件216套、控制柜台3台、控制系统3套，精密过滤器1套、水箱1套、激光雨滴谱仪1套。</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下垫面模型系统</w:t>
                  </w:r>
                </w:p>
                <w:p>
                  <w:pPr>
                    <w:pStyle w:val="null3"/>
                  </w:pPr>
                  <w:r>
                    <w:rPr>
                      <w:rFonts w:ascii="仿宋_GB2312" w:hAnsi="仿宋_GB2312" w:cs="仿宋_GB2312" w:eastAsia="仿宋_GB2312"/>
                    </w:rPr>
                    <w:t>技术参数：</w:t>
                  </w:r>
                </w:p>
                <w:p>
                  <w:pPr>
                    <w:pStyle w:val="null3"/>
                  </w:pPr>
                  <w:r>
                    <w:rPr>
                      <w:rFonts w:ascii="仿宋_GB2312" w:hAnsi="仿宋_GB2312" w:cs="仿宋_GB2312" w:eastAsia="仿宋_GB2312"/>
                    </w:rPr>
                    <w:t>（1）沙盘模型（羽型）</w:t>
                  </w:r>
                </w:p>
                <w:p>
                  <w:pPr>
                    <w:pStyle w:val="null3"/>
                  </w:pPr>
                  <w:r>
                    <w:rPr>
                      <w:rFonts w:ascii="仿宋_GB2312" w:hAnsi="仿宋_GB2312" w:cs="仿宋_GB2312" w:eastAsia="仿宋_GB2312"/>
                    </w:rPr>
                    <w:t>▲1）外型尺寸：面积≥12m2，深度高度≥0.5m（具体尺寸，可在设计方案中优化），模型高度（自底座顶部至流域最大高程）≥1.1m；亚克力厚度≥10mm厚；槽壁的材质：透明可视材质不少于一侧；</w:t>
                  </w:r>
                  <w:r>
                    <w:br/>
                  </w:r>
                  <w:r>
                    <w:rPr>
                      <w:rFonts w:ascii="仿宋_GB2312" w:hAnsi="仿宋_GB2312" w:cs="仿宋_GB2312" w:eastAsia="仿宋_GB2312"/>
                    </w:rPr>
                    <w:t xml:space="preserve"> ▲2）钢结构底座：不锈钢外模，同时底部带有移动轮，方便移动位置；</w:t>
                  </w:r>
                  <w:r>
                    <w:br/>
                  </w:r>
                  <w:r>
                    <w:rPr>
                      <w:rFonts w:ascii="仿宋_GB2312" w:hAnsi="仿宋_GB2312" w:cs="仿宋_GB2312" w:eastAsia="仿宋_GB2312"/>
                    </w:rPr>
                    <w:t xml:space="preserve">   3）支沟及主沟道组成的沟道系统，用不同彩色并标注清楚，设置不同坡段不同坡度（0°-30°）的地形，实现不同坡度变化的实验；</w:t>
                  </w:r>
                </w:p>
                <w:p>
                  <w:pPr>
                    <w:pStyle w:val="null3"/>
                  </w:pPr>
                  <w:r>
                    <w:rPr>
                      <w:rFonts w:ascii="仿宋_GB2312" w:hAnsi="仿宋_GB2312" w:cs="仿宋_GB2312" w:eastAsia="仿宋_GB2312"/>
                    </w:rPr>
                    <w:t>（2）沙盘模型（扇型）</w:t>
                  </w:r>
                </w:p>
                <w:p>
                  <w:pPr>
                    <w:pStyle w:val="null3"/>
                  </w:pPr>
                  <w:r>
                    <w:rPr>
                      <w:rFonts w:ascii="仿宋_GB2312" w:hAnsi="仿宋_GB2312" w:cs="仿宋_GB2312" w:eastAsia="仿宋_GB2312"/>
                    </w:rPr>
                    <w:t>▲1）外型尺寸：面积≥12m2，深度高度≥0.5m（具体尺寸，可在设计方案中优化），模型高度（自底座顶部至流域最大高程）≥1.1m；亚克力厚度≥10mm厚；槽壁的材质：透明可视材质不少于一侧；</w:t>
                  </w:r>
                </w:p>
                <w:p>
                  <w:pPr>
                    <w:pStyle w:val="null3"/>
                  </w:pPr>
                  <w:r>
                    <w:rPr>
                      <w:rFonts w:ascii="仿宋_GB2312" w:hAnsi="仿宋_GB2312" w:cs="仿宋_GB2312" w:eastAsia="仿宋_GB2312"/>
                    </w:rPr>
                    <w:t>▲2）钢结构底座：不锈钢外模，同时底部带有移动轮，方便移动位置。</w:t>
                  </w:r>
                </w:p>
                <w:p>
                  <w:pPr>
                    <w:pStyle w:val="null3"/>
                  </w:pPr>
                  <w:r>
                    <w:rPr>
                      <w:rFonts w:ascii="仿宋_GB2312" w:hAnsi="仿宋_GB2312" w:cs="仿宋_GB2312" w:eastAsia="仿宋_GB2312"/>
                    </w:rPr>
                    <w:t>3）≥5条支沟汇入主沟道，组成扇形流域，用不同彩色并标注清楚，设置不同坡段不同坡度（0°-30°）的地形，实现不同坡度变化的实验；</w:t>
                  </w:r>
                </w:p>
                <w:p>
                  <w:pPr>
                    <w:pStyle w:val="null3"/>
                    <w:numPr>
                      <w:ilvl w:val="0"/>
                      <w:numId w:val="1"/>
                    </w:numPr>
                  </w:pPr>
                  <w:r>
                    <w:rPr>
                      <w:rFonts w:ascii="仿宋_GB2312" w:hAnsi="仿宋_GB2312" w:cs="仿宋_GB2312" w:eastAsia="仿宋_GB2312"/>
                    </w:rPr>
                    <w:t>沙盘模型（混合型）</w:t>
                  </w:r>
                </w:p>
                <w:p>
                  <w:pPr>
                    <w:pStyle w:val="null3"/>
                  </w:pPr>
                  <w:r>
                    <w:rPr>
                      <w:rFonts w:ascii="仿宋_GB2312" w:hAnsi="仿宋_GB2312" w:cs="仿宋_GB2312" w:eastAsia="仿宋_GB2312"/>
                    </w:rPr>
                    <w:t>▲1） 外型尺寸：面积≥12m2，深度高度≥0.5m（具体尺寸，可在设计方案中优化），模型高度（自底座顶部至流域最大高程）1.1m；亚克力厚度≥10mm厚；槽壁的材质：透明可视材质不少于一侧；</w:t>
                  </w:r>
                </w:p>
                <w:p>
                  <w:pPr>
                    <w:pStyle w:val="null3"/>
                  </w:pPr>
                  <w:r>
                    <w:rPr>
                      <w:rFonts w:ascii="仿宋_GB2312" w:hAnsi="仿宋_GB2312" w:cs="仿宋_GB2312" w:eastAsia="仿宋_GB2312"/>
                    </w:rPr>
                    <w:t>▲2）钢结构底座：不锈钢外模，同时底部带有移动轮，方便移动位置。</w:t>
                  </w:r>
                </w:p>
                <w:p>
                  <w:pPr>
                    <w:pStyle w:val="null3"/>
                  </w:pPr>
                  <w:r>
                    <w:rPr>
                      <w:rFonts w:ascii="仿宋_GB2312" w:hAnsi="仿宋_GB2312" w:cs="仿宋_GB2312" w:eastAsia="仿宋_GB2312"/>
                    </w:rPr>
                    <w:t>3）≥3条及以上的羽型支沟汇入主沟道，组成混合型流域，用不同彩色并标注清楚，设置不同坡段不同坡度（0°-30°）的地形，实现不同坡度变化的实验。</w:t>
                  </w:r>
                </w:p>
                <w:p>
                  <w:pPr>
                    <w:pStyle w:val="null3"/>
                  </w:pPr>
                  <w:r>
                    <w:rPr>
                      <w:rFonts w:ascii="仿宋_GB2312" w:hAnsi="仿宋_GB2312" w:cs="仿宋_GB2312" w:eastAsia="仿宋_GB2312"/>
                    </w:rPr>
                    <w:t>（4）下垫面材质可满足不同土壤类型的更换。</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坡面产流测量系统</w:t>
                  </w:r>
                </w:p>
                <w:p>
                  <w:pPr>
                    <w:pStyle w:val="null3"/>
                  </w:pPr>
                  <w:r>
                    <w:rPr>
                      <w:rFonts w:ascii="仿宋_GB2312" w:hAnsi="仿宋_GB2312" w:cs="仿宋_GB2312" w:eastAsia="仿宋_GB2312"/>
                    </w:rPr>
                    <w:t>参数指标：</w:t>
                  </w:r>
                </w:p>
                <w:p>
                  <w:pPr>
                    <w:pStyle w:val="null3"/>
                  </w:pPr>
                  <w:r>
                    <w:rPr>
                      <w:rFonts w:ascii="仿宋_GB2312" w:hAnsi="仿宋_GB2312" w:cs="仿宋_GB2312" w:eastAsia="仿宋_GB2312"/>
                    </w:rPr>
                    <w:t>（1）技术参数</w:t>
                  </w:r>
                </w:p>
                <w:p>
                  <w:pPr>
                    <w:pStyle w:val="null3"/>
                  </w:pPr>
                  <w:r>
                    <w:rPr>
                      <w:rFonts w:ascii="仿宋_GB2312" w:hAnsi="仿宋_GB2312" w:cs="仿宋_GB2312" w:eastAsia="仿宋_GB2312"/>
                    </w:rPr>
                    <w:t>▲1）土壤水分传感器：量程0-100% ，精度：≤±3%；分辨率：0.1%；</w:t>
                  </w:r>
                </w:p>
                <w:p>
                  <w:pPr>
                    <w:pStyle w:val="null3"/>
                  </w:pPr>
                  <w:r>
                    <w:rPr>
                      <w:rFonts w:ascii="仿宋_GB2312" w:hAnsi="仿宋_GB2312" w:cs="仿宋_GB2312" w:eastAsia="仿宋_GB2312"/>
                    </w:rPr>
                    <w:t>▲2）液位传感器：量程0-1m，精度 ±0.2cm；</w:t>
                  </w:r>
                </w:p>
                <w:p>
                  <w:pPr>
                    <w:pStyle w:val="null3"/>
                  </w:pPr>
                  <w:r>
                    <w:rPr>
                      <w:rFonts w:ascii="仿宋_GB2312" w:hAnsi="仿宋_GB2312" w:cs="仿宋_GB2312" w:eastAsia="仿宋_GB2312"/>
                    </w:rPr>
                    <w:t>▲3）坡面流速监测装置：量程范围：0.03-5m/s，流速分辨率≤0.001m/s，精度±1%~±5%；</w:t>
                  </w:r>
                </w:p>
                <w:p>
                  <w:pPr>
                    <w:pStyle w:val="null3"/>
                  </w:pPr>
                  <w:r>
                    <w:rPr>
                      <w:rFonts w:ascii="仿宋_GB2312" w:hAnsi="仿宋_GB2312" w:cs="仿宋_GB2312" w:eastAsia="仿宋_GB2312"/>
                    </w:rPr>
                    <w:t>4）管式流量计：量程≥0.3-1.2m³，精度：≤±0.5%；</w:t>
                  </w:r>
                </w:p>
                <w:p>
                  <w:pPr>
                    <w:pStyle w:val="null3"/>
                  </w:pPr>
                  <w:r>
                    <w:rPr>
                      <w:rFonts w:ascii="仿宋_GB2312" w:hAnsi="仿宋_GB2312" w:cs="仿宋_GB2312" w:eastAsia="仿宋_GB2312"/>
                    </w:rPr>
                    <w:t>▲5）人机交互模组：全彩≥24位，尺寸≥10寸人机界面触摸屏，分辨率≥1024*600，背光：LED，显示采集数据，实时数据显示：能以数字、仪表盘、实时曲线等形式显示流速、流量、含沙量、液位、下渗量、累计总量等。</w:t>
                  </w:r>
                </w:p>
                <w:p>
                  <w:pPr>
                    <w:pStyle w:val="null3"/>
                  </w:pPr>
                  <w:r>
                    <w:rPr>
                      <w:rFonts w:ascii="仿宋_GB2312" w:hAnsi="仿宋_GB2312" w:cs="仿宋_GB2312" w:eastAsia="仿宋_GB2312"/>
                    </w:rPr>
                    <w:t>历史数据管理：支持历史数据查询、数据列表显示，并能生成历史趋势曲线。</w:t>
                  </w:r>
                </w:p>
                <w:p>
                  <w:pPr>
                    <w:pStyle w:val="null3"/>
                  </w:pPr>
                  <w:r>
                    <w:rPr>
                      <w:rFonts w:ascii="仿宋_GB2312" w:hAnsi="仿宋_GB2312" w:cs="仿宋_GB2312" w:eastAsia="仿宋_GB2312"/>
                    </w:rPr>
                    <w:t>报警记录：能实时显示并记录设备故障、参数超限等报警信息，并可查询历史报警。</w:t>
                  </w:r>
                </w:p>
                <w:p>
                  <w:pPr>
                    <w:pStyle w:val="null3"/>
                  </w:pPr>
                  <w:r>
                    <w:rPr>
                      <w:rFonts w:ascii="仿宋_GB2312" w:hAnsi="仿宋_GB2312" w:cs="仿宋_GB2312" w:eastAsia="仿宋_GB2312"/>
                    </w:rPr>
                    <w:t>（2）单套配置要求</w:t>
                  </w:r>
                </w:p>
                <w:p>
                  <w:pPr>
                    <w:pStyle w:val="null3"/>
                  </w:pPr>
                  <w:r>
                    <w:rPr>
                      <w:rFonts w:ascii="仿宋_GB2312" w:hAnsi="仿宋_GB2312" w:cs="仿宋_GB2312" w:eastAsia="仿宋_GB2312"/>
                    </w:rPr>
                    <w:t>土壤水分传感器8套、液位传感器 4 套、坡面流速监测装置4套、管式流量计4套、数据采集终端1套。</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水沙调控系统</w:t>
                  </w:r>
                </w:p>
                <w:p>
                  <w:pPr>
                    <w:pStyle w:val="null3"/>
                  </w:pPr>
                  <w:r>
                    <w:rPr>
                      <w:rFonts w:ascii="仿宋_GB2312" w:hAnsi="仿宋_GB2312" w:cs="仿宋_GB2312" w:eastAsia="仿宋_GB2312"/>
                    </w:rPr>
                    <w:t>参数指标：</w:t>
                  </w:r>
                </w:p>
                <w:p>
                  <w:pPr>
                    <w:pStyle w:val="null3"/>
                  </w:pPr>
                  <w:r>
                    <w:rPr>
                      <w:rFonts w:ascii="仿宋_GB2312" w:hAnsi="仿宋_GB2312" w:cs="仿宋_GB2312" w:eastAsia="仿宋_GB2312"/>
                    </w:rPr>
                    <w:t>（1）技术参数</w:t>
                  </w:r>
                </w:p>
                <w:p>
                  <w:pPr>
                    <w:pStyle w:val="null3"/>
                  </w:pPr>
                  <w:r>
                    <w:rPr>
                      <w:rFonts w:ascii="仿宋_GB2312" w:hAnsi="仿宋_GB2312" w:cs="仿宋_GB2312" w:eastAsia="仿宋_GB2312"/>
                    </w:rPr>
                    <w:t>1）泥沙搅拌装置1套：自动控制水沙比例；设置浊度传感装置，测量范围≥0~4000 NTU；内置PLC控制器；设置防堵调节阀；设置变频调速装置，用于控制投入沙量。</w:t>
                  </w:r>
                </w:p>
                <w:p>
                  <w:pPr>
                    <w:pStyle w:val="null3"/>
                  </w:pPr>
                  <w:r>
                    <w:rPr>
                      <w:rFonts w:ascii="仿宋_GB2312" w:hAnsi="仿宋_GB2312" w:cs="仿宋_GB2312" w:eastAsia="仿宋_GB2312"/>
                    </w:rPr>
                    <w:t>2）含沙量测量采样间隔：3~999秒，可调；</w:t>
                  </w:r>
                </w:p>
                <w:p>
                  <w:pPr>
                    <w:pStyle w:val="null3"/>
                  </w:pPr>
                  <w:r>
                    <w:rPr>
                      <w:rFonts w:ascii="仿宋_GB2312" w:hAnsi="仿宋_GB2312" w:cs="仿宋_GB2312" w:eastAsia="仿宋_GB2312"/>
                    </w:rPr>
                    <w:t>▲3） 泥沙全自动监测装置：红外线光头，测量范围≥3-120kg/m³；测量误差：±5%；</w:t>
                  </w:r>
                </w:p>
                <w:p>
                  <w:pPr>
                    <w:pStyle w:val="null3"/>
                  </w:pPr>
                  <w:r>
                    <w:rPr>
                      <w:rFonts w:ascii="仿宋_GB2312" w:hAnsi="仿宋_GB2312" w:cs="仿宋_GB2312" w:eastAsia="仿宋_GB2312"/>
                    </w:rPr>
                    <w:t>▲4）雷达液位计：径流场流量测量范围≥0.2~19m3/h，测量精度≤0.1mm，测量误差在3%以内；</w:t>
                  </w:r>
                </w:p>
                <w:p>
                  <w:pPr>
                    <w:pStyle w:val="null3"/>
                  </w:pPr>
                  <w:r>
                    <w:rPr>
                      <w:rFonts w:ascii="仿宋_GB2312" w:hAnsi="仿宋_GB2312" w:cs="仿宋_GB2312" w:eastAsia="仿宋_GB2312"/>
                    </w:rPr>
                    <w:t>5） 功率：&lt;30瓦；</w:t>
                  </w:r>
                </w:p>
                <w:p>
                  <w:pPr>
                    <w:pStyle w:val="null3"/>
                  </w:pPr>
                  <w:r>
                    <w:rPr>
                      <w:rFonts w:ascii="仿宋_GB2312" w:hAnsi="仿宋_GB2312" w:cs="仿宋_GB2312" w:eastAsia="仿宋_GB2312"/>
                    </w:rPr>
                    <w:t>6）采用堰口雷达测量流量，前置稳流槽实时采集流量和泥沙含量数据，采用光电原理测量泥沙含量；</w:t>
                  </w:r>
                </w:p>
                <w:p>
                  <w:pPr>
                    <w:pStyle w:val="null3"/>
                  </w:pPr>
                  <w:r>
                    <w:rPr>
                      <w:rFonts w:ascii="仿宋_GB2312" w:hAnsi="仿宋_GB2312" w:cs="仿宋_GB2312" w:eastAsia="仿宋_GB2312"/>
                    </w:rPr>
                    <w:t>▲7）人机交互模组：全彩≥24位，尺寸≥10寸人机界面触摸屏，分辨率≥1024*600，背光：LED，显示采集数据，实时数据显示：能以数字、仪表盘、实时曲线等形式显示流速、流量、含沙量、累计总量等。历史数据管理：支持历史数据查询、数据列表显示，并能生成历史趋势曲线。</w:t>
                  </w:r>
                </w:p>
                <w:p>
                  <w:pPr>
                    <w:pStyle w:val="null3"/>
                  </w:pPr>
                  <w:r>
                    <w:rPr>
                      <w:rFonts w:ascii="仿宋_GB2312" w:hAnsi="仿宋_GB2312" w:cs="仿宋_GB2312" w:eastAsia="仿宋_GB2312"/>
                    </w:rPr>
                    <w:t>报警记录：能实时显示并记录设备故障、参数超限等报警信息，并可查询历史报警。</w:t>
                  </w:r>
                </w:p>
                <w:p>
                  <w:pPr>
                    <w:pStyle w:val="null3"/>
                  </w:pPr>
                  <w:r>
                    <w:rPr>
                      <w:rFonts w:ascii="仿宋_GB2312" w:hAnsi="仿宋_GB2312" w:cs="仿宋_GB2312" w:eastAsia="仿宋_GB2312"/>
                    </w:rPr>
                    <w:t>▲8）嵌入式系统软件：嵌入式ARM系统软件：</w:t>
                  </w:r>
                </w:p>
                <w:p>
                  <w:pPr>
                    <w:pStyle w:val="null3"/>
                  </w:pPr>
                  <w:r>
                    <w:rPr>
                      <w:rFonts w:ascii="仿宋_GB2312" w:hAnsi="仿宋_GB2312" w:cs="仿宋_GB2312" w:eastAsia="仿宋_GB2312"/>
                    </w:rPr>
                    <w:t>①采集水土流失泥沙含量，瞬时流量等实时数据；</w:t>
                  </w:r>
                </w:p>
                <w:p>
                  <w:pPr>
                    <w:pStyle w:val="null3"/>
                  </w:pPr>
                  <w:r>
                    <w:rPr>
                      <w:rFonts w:ascii="仿宋_GB2312" w:hAnsi="仿宋_GB2312" w:cs="仿宋_GB2312" w:eastAsia="仿宋_GB2312"/>
                    </w:rPr>
                    <w:t>②计算处理采集数据，算法处理，总量计算，数据保存，历史数据记录；</w:t>
                  </w:r>
                </w:p>
                <w:p>
                  <w:pPr>
                    <w:pStyle w:val="null3"/>
                  </w:pPr>
                  <w:r>
                    <w:rPr>
                      <w:rFonts w:ascii="仿宋_GB2312" w:hAnsi="仿宋_GB2312" w:cs="仿宋_GB2312" w:eastAsia="仿宋_GB2312"/>
                    </w:rPr>
                    <w:t>③数据掉电保存，历史数据表格处理；</w:t>
                  </w:r>
                </w:p>
                <w:p>
                  <w:pPr>
                    <w:pStyle w:val="null3"/>
                  </w:pPr>
                  <w:r>
                    <w:rPr>
                      <w:rFonts w:ascii="仿宋_GB2312" w:hAnsi="仿宋_GB2312" w:cs="仿宋_GB2312" w:eastAsia="仿宋_GB2312"/>
                    </w:rPr>
                    <w:t>9）水土流失机箱：尺寸≤1000mmX400mmX600mm，不锈钢加工；</w:t>
                  </w:r>
                </w:p>
                <w:p>
                  <w:pPr>
                    <w:pStyle w:val="null3"/>
                  </w:pPr>
                  <w:r>
                    <w:rPr>
                      <w:rFonts w:ascii="仿宋_GB2312" w:hAnsi="仿宋_GB2312" w:cs="仿宋_GB2312" w:eastAsia="仿宋_GB2312"/>
                    </w:rPr>
                    <w:t>（2）单套配置要求</w:t>
                  </w:r>
                </w:p>
                <w:p>
                  <w:pPr>
                    <w:pStyle w:val="null3"/>
                  </w:pPr>
                  <w:r>
                    <w:rPr>
                      <w:rFonts w:ascii="仿宋_GB2312" w:hAnsi="仿宋_GB2312" w:cs="仿宋_GB2312" w:eastAsia="仿宋_GB2312"/>
                    </w:rPr>
                    <w:t>泥沙传感器1套、雷达液位计1套、水土流失机箱1套、数据采集1套。</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安全辅助模块</w:t>
                  </w:r>
                </w:p>
                <w:p>
                  <w:pPr>
                    <w:pStyle w:val="null3"/>
                    <w:numPr>
                      <w:ilvl w:val="0"/>
                      <w:numId w:val="1"/>
                    </w:numPr>
                  </w:pPr>
                  <w:r>
                    <w:rPr>
                      <w:rFonts w:ascii="仿宋_GB2312" w:hAnsi="仿宋_GB2312" w:cs="仿宋_GB2312" w:eastAsia="仿宋_GB2312"/>
                    </w:rPr>
                    <w:t>物理防水与密封设计</w:t>
                  </w:r>
                </w:p>
                <w:p>
                  <w:pPr>
                    <w:pStyle w:val="null3"/>
                  </w:pPr>
                  <w:r>
                    <w:rPr>
                      <w:rFonts w:ascii="仿宋_GB2312" w:hAnsi="仿宋_GB2312" w:cs="仿宋_GB2312" w:eastAsia="仿宋_GB2312"/>
                    </w:rPr>
                    <w:t>防护等级达标：设备外壳及电气接口至少应达到IP54及以上标准。</w:t>
                  </w:r>
                </w:p>
                <w:p>
                  <w:pPr>
                    <w:pStyle w:val="null3"/>
                  </w:pPr>
                  <w:r>
                    <w:rPr>
                      <w:rFonts w:ascii="仿宋_GB2312" w:hAnsi="仿宋_GB2312" w:cs="仿宋_GB2312" w:eastAsia="仿宋_GB2312"/>
                    </w:rPr>
                    <w:t>密封结构阻断：至少采用双重密封设计，如防水插头需配备橡胶圈，利用密封结构物理阻断水形成导电路径，防止水汽在电路板表面形成导电膜。</w:t>
                  </w:r>
                </w:p>
                <w:p>
                  <w:pPr>
                    <w:pStyle w:val="null3"/>
                  </w:pPr>
                  <w:r>
                    <w:rPr>
                      <w:rFonts w:ascii="仿宋_GB2312" w:hAnsi="仿宋_GB2312" w:cs="仿宋_GB2312" w:eastAsia="仿宋_GB2312"/>
                    </w:rPr>
                    <w:t>排水与防积：箱体设计需有倾斜度或底部排水孔，防止雨水积聚浸泡元件；箱门必须牢固且具备防雨檐，可关闭加锁。</w:t>
                  </w:r>
                </w:p>
                <w:p>
                  <w:pPr>
                    <w:pStyle w:val="null3"/>
                  </w:pPr>
                  <w:r>
                    <w:rPr>
                      <w:rFonts w:ascii="仿宋_GB2312" w:hAnsi="仿宋_GB2312" w:cs="仿宋_GB2312" w:eastAsia="仿宋_GB2312"/>
                    </w:rPr>
                    <w:t>2. 漏电保护与接地系统</w:t>
                  </w:r>
                </w:p>
                <w:p>
                  <w:pPr>
                    <w:pStyle w:val="null3"/>
                  </w:pPr>
                  <w:r>
                    <w:rPr>
                      <w:rFonts w:ascii="仿宋_GB2312" w:hAnsi="仿宋_GB2312" w:cs="仿宋_GB2312" w:eastAsia="仿宋_GB2312"/>
                    </w:rPr>
                    <w:t>两级漏电保护：安装漏电保护器，且需达到两级漏电保护标准。</w:t>
                  </w:r>
                </w:p>
                <w:p>
                  <w:pPr>
                    <w:pStyle w:val="null3"/>
                  </w:pPr>
                  <w:r>
                    <w:rPr>
                      <w:rFonts w:ascii="仿宋_GB2312" w:hAnsi="仿宋_GB2312" w:cs="仿宋_GB2312" w:eastAsia="仿宋_GB2312"/>
                    </w:rPr>
                    <w:t>可靠接地接零：设备不带电的金属外壳、箱体必须可靠连接保护零线（PE 线）</w:t>
                  </w:r>
                </w:p>
                <w:p>
                  <w:pPr>
                    <w:pStyle w:val="null3"/>
                  </w:pPr>
                  <w:r>
                    <w:rPr>
                      <w:rFonts w:ascii="仿宋_GB2312" w:hAnsi="仿宋_GB2312" w:cs="仿宋_GB2312" w:eastAsia="仿宋_GB2312"/>
                    </w:rPr>
                    <w:t>绝缘电阻监测：安全模块应具备定期或实时监测绝缘电阻的功能，标准要求带电部件与外壳间绝缘电阻不应低于1MΩ，若数值下降应立即报警并停机。</w:t>
                  </w:r>
                </w:p>
                <w:p>
                  <w:pPr>
                    <w:pStyle w:val="null3"/>
                  </w:pPr>
                  <w:r>
                    <w:rPr>
                      <w:rFonts w:ascii="仿宋_GB2312" w:hAnsi="仿宋_GB2312" w:cs="仿宋_GB2312" w:eastAsia="仿宋_GB2312"/>
                    </w:rPr>
                    <w:t>3. 智能监测与自动切断机制</w:t>
                  </w:r>
                </w:p>
                <w:p>
                  <w:pPr>
                    <w:pStyle w:val="null3"/>
                  </w:pPr>
                  <w:r>
                    <w:rPr>
                      <w:rFonts w:ascii="仿宋_GB2312" w:hAnsi="仿宋_GB2312" w:cs="仿宋_GB2312" w:eastAsia="仿宋_GB2312"/>
                    </w:rPr>
                    <w:t>当设备发生漏电、进水短路、元件过热或绝缘异常时，系统能自动切断整机电源并发出声光报警，并设置紧急停机按钮。</w:t>
                  </w:r>
                </w:p>
                <w:p>
                  <w:pPr>
                    <w:pStyle w:val="null3"/>
                  </w:pPr>
                  <w:r>
                    <w:rPr>
                      <w:rFonts w:ascii="仿宋_GB2312" w:hAnsi="仿宋_GB2312" w:cs="仿宋_GB2312" w:eastAsia="仿宋_GB2312"/>
                    </w:rPr>
                    <w:t>防潮防腐处理：电路板应涂覆三防漆（防潮、防盐雾、防霉），金属触点需做防腐处理。</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合同签订后75个日历日完成供货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合同签订后，达到付款条件起5个工作日内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设备运抵甲方指定地点并经甲方初步查验无误后，达到付款条件起7个工作日内</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设备安装调试完成，经甲方验收合格并签署《验收合格报告》后，乙方开具全额合法有效的增值税专用发票，达到付款条件起7个工作日内</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达到使用条件时由采购单位负责组织验收，或者邀请有关专家、质检机构共同进行验收;验收合格须交接项目实施的全部资料，并填写政府采购项目验收报告单。验收须以合同、招标文件及投标文件、澄清、及国家相应的标准、规范等为依据。 验收标准：（1）合同文本、合同附件、投标文件、招标文件； （2）国内相应的标准、规范； （3）其他适用的依据。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免费质保期：自验收合格交付之日起2年；2.售后服务响应时间（质保期内）：即时响应（包括电话响应）；电话响应无法解决48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15日仍未交齐货物的，甲方有权终止合同，乙方及制造厂商共同退还货款，并按合同总价20%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若交货后乙方在约定时间内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1.需执行现行国家相关标准、行业标准、地方标准或者其他标准、规范。 2.配件：免费提供2年的供正常使用的配件。 3.人员培训：提供相关操作人员培训资料。 4.产品保修期内，修理、更换、退货要求：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（4）质保服务：保修期内由中标人免费质保，采购人报修后48小时内中标人必须响应，否则将依据有关法律、法规进行追偿； （5）瑕疵责任：中标人提供产品应无任何瑕疵，符合国际、国内相关标准。如在使用过程中本产品存在隐蔽瑕疵造成事故而引发的纠纷，由中标人全额负责赔偿，并免费为采购人修复瑕疵或更新换代，期间产生的费用均由中标人承担。 5.本项目各教学系统需在实施阶段与采购人充分沟通协同，结合其具体需求，以满足使用需要。供应商可自行勘探现场，最终交付系统尺寸等需适配场地。 6.中标单位应提供纸质投标文件三份（正本壹份、副本贰份），投标文件需包含目录、无少页、缺页、连续页码（或单独使用打码器打码）。 7.根据《国务院办公厅关于在政府采购中实施本国产品标准及相关政策的通知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 授权代表参加投标的，应提供法定代表人或单位负责人身份证明、授权委托书及授权代表在本单位缴纳养老保险证明。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供应商未被列入“信用中国”网站(www.creditchina.gov.cn)“失信被执行人”、“重大税收违法失信主体”记录名单；不处于中国政府采购网(www.ccgp.gov.cn)“政府采购严重违法失信行为信息记录”中。 （以代理机构于开启投标文件当天进行资格审查时在“信用中国”网站（www.creditchina.gov.cn）及中国政府采购网(www.ccgp.gov.cn)查询结果为准）。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单位负责人为同一人或者存在直接控股、管理关系的不同供应商不得参加同一项目的政府采购活动；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投标函 投标方案说明.docx 中小企业声明函 残疾人福利性单位声明函 拒绝政府采购领域商业贿赂承诺书.docx 偏离表.docx 标的清单 投标文件封面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按投标文件格式要求加盖了供应商公章和有法定代表人或其委托代理人签字或盖章。</w:t>
            </w:r>
          </w:p>
        </w:tc>
        <w:tc>
          <w:tcPr>
            <w:tcW w:type="dxa" w:w="1661"/>
          </w:tcPr>
          <w:p>
            <w:pPr>
              <w:pStyle w:val="null3"/>
            </w:pPr>
            <w:r>
              <w:rPr>
                <w:rFonts w:ascii="仿宋_GB2312" w:hAnsi="仿宋_GB2312" w:cs="仿宋_GB2312" w:eastAsia="仿宋_GB2312"/>
              </w:rPr>
              <w:t>分项报价表.docx 投标函 投标方案说明.docx 中小企业声明函 残疾人福利性单位声明函 拒绝政府采购领域商业贿赂承诺书.docx 偏离表.docx 标的清单 投标文件封面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报价唯一性</w:t>
            </w:r>
          </w:p>
        </w:tc>
        <w:tc>
          <w:tcPr>
            <w:tcW w:type="dxa" w:w="3322"/>
          </w:tcPr>
          <w:p>
            <w:pPr>
              <w:pStyle w:val="null3"/>
            </w:pPr>
            <w:r>
              <w:rPr>
                <w:rFonts w:ascii="仿宋_GB2312" w:hAnsi="仿宋_GB2312" w:cs="仿宋_GB2312" w:eastAsia="仿宋_GB2312"/>
              </w:rPr>
              <w:t>报价唯一性且未超过采购预算。</w:t>
            </w:r>
          </w:p>
        </w:tc>
        <w:tc>
          <w:tcPr>
            <w:tcW w:type="dxa" w:w="1661"/>
          </w:tcPr>
          <w:p>
            <w:pPr>
              <w:pStyle w:val="null3"/>
            </w:pPr>
            <w:r>
              <w:rPr>
                <w:rFonts w:ascii="仿宋_GB2312" w:hAnsi="仿宋_GB2312" w:cs="仿宋_GB2312" w:eastAsia="仿宋_GB2312"/>
              </w:rPr>
              <w:t>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无实质性偏离</w:t>
            </w:r>
          </w:p>
        </w:tc>
        <w:tc>
          <w:tcPr>
            <w:tcW w:type="dxa" w:w="1661"/>
          </w:tcPr>
          <w:p>
            <w:pPr>
              <w:pStyle w:val="null3"/>
            </w:pPr>
            <w:r>
              <w:rPr>
                <w:rFonts w:ascii="仿宋_GB2312" w:hAnsi="仿宋_GB2312" w:cs="仿宋_GB2312" w:eastAsia="仿宋_GB2312"/>
              </w:rPr>
              <w:t>投标方案说明.docx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招标文件本包技术参数表中所有产品，总计5类产品，每个产品参数完全满足时得6分，其中一条非标细项不符合扣0.5分，一条▲细项不符合扣1分，如单类产品中有五条细项及以上产生负偏离时视为本产品负偏离，不得分。 注:评标委员会将根据投标文件中对技术部分的应答、测试报告，并结合投标人提供的技术资料和原厂技术文件等，对技术部分进行综合评价。 ★细项为核心指标，如发生负偏离视为非实质性响应，其投标将被认定为无效投标，▲细项为重点指标。★、▲细项供应商需提供相应的功能证明材料（包括但不限于测试报告、厂家产品说明、官网和功能截图等）予以证明技术性能的响应性，未提供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分项报价表.docx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1.评审内容 根据项目需求提供降雨~产流~汇流~入渗等整个降雨过程的设计方案。内容包含：①设计思路总述；②总体设计图；③各组成部件细节介绍；④各测试点的布置点位图功能、结构设计方案：包含实用性及安全性；⑤与采购人的沟通改进措施。 2.评审标准 完整性：方案须全面，对评审内容中的各项要求描述详细； 可实施性：切合本项目 实际情况，实施步骤清晰、合理、可实现； 针对性：方案能够紧扣项目具体情况，不能套搬、脱离具体实际，内容科学合理。 3.赋分依据（满分15分） ①-⑤：每完全满足一个评审标准得1分，满分15分。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供应商需提供完整、合理、规范的实施方案及措施。内容包含：①实施方案计划；②进度保证措施；③运输方案；④供货安装、调试方案；⑤应急预案；⑥验收措施。 2.评审标准 完整性：方案须全面，对评审内容中的各项要求描述详细； 可实施性：切合本项目 实际情况，实施步骤清晰、合理、可实现； 针对性：方案能够紧扣项目具体情况，不能套搬、脱离具体实际，内容科学合理。 3.赋分依据（满分9分） ①-⑥：每完全满足一个评审标准得0.5分，满分9分。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人员配备：提供充足详细、可行、合理的岗位安排表（包括人员名单、工作经验、 工作岗位等信息） 。 1.拟配备人员充足、分工明确、专业齐全、经验丰富，完全满足项目需求，得3分； 2.拟配备人员充足、专业较齐全、有一定类似项目经验，基本满足项目需求，得2分； 3.拟配备人员较少、专业单一、项目经验欠缺，得1分； 4.其他不得分。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根据投标人针对本项目拟投产品来源的相关证明材料进行评审。 （1）产品相关证明材料齐全、货源渠道正规（代理商自主提供证明材料，制造商提供生产证明材料）、链条清晰完整，得2分； （2）产品相关证明材料有缺失、链条模糊不完整（略有缺陷，但不影响招标人正常使用），得1分； （3）未提供或不能有效证明得0分。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针对本项目提供培训方案，为采购人培训操作维护人员，以保障使用过程中能熟练操作、维护和正常使用，培训方案内容包含培训内容、培训计划安排（包含不限于：对培训对象、培训时间做出计划，包括培训时间、地点、人次、方式、预计培训结果，保证采购人人员掌握仪器的基本操作和日常维护）等。 1.培训方案内容完善、培训计划安排完全满足采购人使用设备需要，得3分； 2.培训方案内容有缺陷（不完整或缺少关键点）、培训计划安排非专门针对本项目或不适用本项目特性，不利于本项目目标的实现，得1分； 3.未提供得0分。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根据项目实际需求提供售后服务方案，内容包含①售后服务内容及保障措施；②响应时间及方式；③备品备件、耗材及时更换的服务内容。 2.评审标准 完整性：方案须全面，对评审内容中的各项要求描述详细； 可实施性：切合本项目实际情况，实施步骤清晰、合理、可实现； 针对性：方案能够紧扣项目具体情况，不能套搬、脱离具体实际，内容科学合理。 3.赋分依据（满分3分） ①-③：同时完全满足完整性、可实施性、针对性标准得1分，满分3分。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质保期2年为最低标准，每增加1年得1分，最多得2分。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投标人提供自2020年1月1日起（以合同签订日期为准）至今实施的类似业绩，每提供1个业绩合同得1分，最高得3分。 注：需提供业绩完整合同（签字盖章齐全、合同内容完整）及对应货款发票复印件或扫描件（任意一张），并加盖投标人公章，以上两种证明材料同时提供方可得分，否则不得分。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以合格投标人有效投标总报价中的最低价为基准价，基准价为30分。投标报价得分＝（评标基准价/投标报价）×30%×100（小数点后保留2位小数）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