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版本号：ZX2026-03-20.20260325001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陕西地理标志“星推官”展销活动项目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ZX2026-03-20.</w:t>
      </w:r>
      <w:r>
        <w:br/>
      </w:r>
      <w:r>
        <w:br/>
      </w:r>
      <w:r>
        <w:br/>
      </w:r>
    </w:p>
    <w:p>
      <w:pPr>
        <w:pStyle w:val="null3"/>
        <w:jc w:val="center"/>
        <w:outlineLvl w:val="2"/>
      </w:pPr>
      <w:r>
        <w:rPr>
          <w:rFonts w:ascii="仿宋_GB2312" w:hAnsi="仿宋_GB2312" w:cs="仿宋_GB2312" w:eastAsia="仿宋_GB2312"/>
          <w:sz w:val="28"/>
          <w:b/>
        </w:rPr>
        <w:t>陕西省知识产权局机关</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陕西省知识产权局机关</w:t>
      </w:r>
      <w:r>
        <w:rPr>
          <w:rFonts w:ascii="仿宋_GB2312" w:hAnsi="仿宋_GB2312" w:cs="仿宋_GB2312" w:eastAsia="仿宋_GB2312"/>
        </w:rPr>
        <w:t>委托，拟对</w:t>
      </w:r>
      <w:r>
        <w:rPr>
          <w:rFonts w:ascii="仿宋_GB2312" w:hAnsi="仿宋_GB2312" w:cs="仿宋_GB2312" w:eastAsia="仿宋_GB2312"/>
        </w:rPr>
        <w:t>陕西地理标志“星推官”展销活动项目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ZX2026-03-20.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陕西地理标志“星推官”展销活动项目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陕西地理标志“星推官”展销活动项目，1项，具体内容详见磋商文件第三章。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采购包1（陕西地理标志“星推官”展销活动项目）：属于专门面向小微企业采购。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陕西省知识产权局机关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陕西省西安市新城区新城大院省政府大楼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029-63916891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胡怡洁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采购包1保证金金额：10,320.00元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代理服务费收费标准：参照国家计委计价格〔2002〕1980号及发改办价格〔2003〕857号通知规定计取，由成交供应商支付代理服务费。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陕西省知识产权局机关</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陕西省知识产权局机关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陕西省知识产权局机关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王宇轩 蔡丹</w:t>
      </w:r>
    </w:p>
    <w:p>
      <w:pPr>
        <w:pStyle w:val="null3"/>
      </w:pPr>
      <w:r>
        <w:rPr>
          <w:rFonts w:ascii="仿宋_GB2312" w:hAnsi="仿宋_GB2312" w:cs="仿宋_GB2312" w:eastAsia="仿宋_GB2312"/>
        </w:rPr>
        <w:t>联系电话：029-88110800转8030（1041800645@qq.com）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陕西地理标志“星推官”展销活动项目，1项。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陕西地理标志星推官展销活动项目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标的名称：陕西地理标志星推官展销活动项目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一、项目基本情况</w:t>
            </w:r>
          </w:p>
          <w:p>
            <w:pPr>
              <w:pStyle w:val="null3"/>
            </w:pPr>
            <w:r>
              <w:rPr>
                <w:rFonts w:ascii="仿宋_GB2312" w:hAnsi="仿宋_GB2312" w:cs="仿宋_GB2312" w:eastAsia="仿宋_GB2312"/>
              </w:rPr>
              <w:t>（一）项目名称</w:t>
            </w:r>
          </w:p>
          <w:p>
            <w:pPr>
              <w:pStyle w:val="null3"/>
            </w:pPr>
            <w:r>
              <w:rPr>
                <w:rFonts w:ascii="仿宋_GB2312" w:hAnsi="仿宋_GB2312" w:cs="仿宋_GB2312" w:eastAsia="仿宋_GB2312"/>
              </w:rPr>
              <w:t>陕西地理标志“星推官”展销活动项目。</w:t>
            </w:r>
          </w:p>
          <w:p>
            <w:pPr>
              <w:pStyle w:val="null3"/>
            </w:pPr>
            <w:r>
              <w:rPr>
                <w:rFonts w:ascii="仿宋_GB2312" w:hAnsi="仿宋_GB2312" w:cs="仿宋_GB2312" w:eastAsia="仿宋_GB2312"/>
              </w:rPr>
              <w:t>（二）采购内容</w:t>
            </w:r>
          </w:p>
          <w:p>
            <w:pPr>
              <w:pStyle w:val="null3"/>
            </w:pPr>
            <w:r>
              <w:rPr>
                <w:rFonts w:ascii="仿宋_GB2312" w:hAnsi="仿宋_GB2312" w:cs="仿宋_GB2312" w:eastAsia="仿宋_GB2312"/>
              </w:rPr>
              <w:t>供应商需完成陕西地理标志“星推官”展销活动策划、展销活动组织、参展资源整合与资质审核、视觉效果设计、展销活动布展、展销活动会务保障、媒体宣传、舆论监测与应对等任务，确保活动全程专业、有序、有效。</w:t>
            </w:r>
          </w:p>
          <w:p>
            <w:pPr>
              <w:pStyle w:val="null3"/>
            </w:pPr>
            <w:r>
              <w:rPr>
                <w:rFonts w:ascii="仿宋_GB2312" w:hAnsi="仿宋_GB2312" w:cs="仿宋_GB2312" w:eastAsia="仿宋_GB2312"/>
              </w:rPr>
              <w:t>（三）项目目标</w:t>
            </w:r>
          </w:p>
          <w:p>
            <w:pPr>
              <w:pStyle w:val="null3"/>
            </w:pPr>
            <w:r>
              <w:rPr>
                <w:rFonts w:ascii="仿宋_GB2312" w:hAnsi="仿宋_GB2312" w:cs="仿宋_GB2312" w:eastAsia="仿宋_GB2312"/>
              </w:rPr>
              <w:t>为加快推进西部示范知识产权强省建设，深入挖掘并集中展示陕西地理标志产品的独特品质、历史文化与地域魅力，充分发挥陕西地理标志“星推官”宣传带动作用，聚焦陕西地理标志产品宣传推广、展销对接与文化传播，提升产品知名度与品牌影响力，助力区域经济高质量发展，实现陕西地理标志产品展销、品牌培育、产业赋能一体化发展，全面展现地理标志助力乡村振兴的实践成效。</w:t>
            </w:r>
          </w:p>
          <w:p>
            <w:pPr>
              <w:pStyle w:val="null3"/>
            </w:pPr>
            <w:r>
              <w:rPr>
                <w:rFonts w:ascii="仿宋_GB2312" w:hAnsi="仿宋_GB2312" w:cs="仿宋_GB2312" w:eastAsia="仿宋_GB2312"/>
              </w:rPr>
              <w:t>二、项目要求</w:t>
            </w:r>
          </w:p>
          <w:p>
            <w:pPr>
              <w:pStyle w:val="null3"/>
            </w:pPr>
            <w:r>
              <w:rPr>
                <w:rFonts w:ascii="仿宋_GB2312" w:hAnsi="仿宋_GB2312" w:cs="仿宋_GB2312" w:eastAsia="仿宋_GB2312"/>
              </w:rPr>
              <w:t>（一）活动策划要求</w:t>
            </w:r>
          </w:p>
          <w:p>
            <w:pPr>
              <w:pStyle w:val="null3"/>
            </w:pPr>
            <w:r>
              <w:rPr>
                <w:rFonts w:ascii="仿宋_GB2312" w:hAnsi="仿宋_GB2312" w:cs="仿宋_GB2312" w:eastAsia="仿宋_GB2312"/>
              </w:rPr>
              <w:t>供应商需根据项目目标，制定详细的展销活动总体策划方案，包括活动主题、流程设计、场地规划、时间安排等。策划方案需贴合地理标志特色，突出陕西地域文化，符合省知识产权局工作要求，并具备创新性与可执行性。本次活动举办时间为1天，供应商需在策划方案中统筹考虑各环节的时间衔接与现场调度。</w:t>
            </w:r>
          </w:p>
          <w:p>
            <w:pPr>
              <w:pStyle w:val="null3"/>
            </w:pPr>
            <w:r>
              <w:rPr>
                <w:rFonts w:ascii="仿宋_GB2312" w:hAnsi="仿宋_GB2312" w:cs="仿宋_GB2312" w:eastAsia="仿宋_GB2312"/>
              </w:rPr>
              <w:t>（二）展销组织与资源整合要求</w:t>
            </w:r>
          </w:p>
          <w:p>
            <w:pPr>
              <w:pStyle w:val="null3"/>
            </w:pPr>
            <w:r>
              <w:rPr>
                <w:rFonts w:ascii="仿宋_GB2312" w:hAnsi="仿宋_GB2312" w:cs="仿宋_GB2312" w:eastAsia="仿宋_GB2312"/>
              </w:rPr>
              <w:t>负责参展资源的整合与筛选，广泛动员陕西地理标志产品权利人、生产企业、行业协会等参与展销，对参展主体资质及展品进行严格审核，确保参展产品合法合规、品质优良，杜绝假冒伪劣产品。统筹展销现场的布展安排、产品陈列、互动体验等，提升展销效果。</w:t>
            </w:r>
          </w:p>
          <w:p>
            <w:pPr>
              <w:pStyle w:val="null3"/>
            </w:pPr>
            <w:r>
              <w:rPr>
                <w:rFonts w:ascii="仿宋_GB2312" w:hAnsi="仿宋_GB2312" w:cs="仿宋_GB2312" w:eastAsia="仿宋_GB2312"/>
              </w:rPr>
              <w:t>（三）视觉效果设计要求</w:t>
            </w:r>
          </w:p>
          <w:p>
            <w:pPr>
              <w:pStyle w:val="null3"/>
            </w:pPr>
            <w:r>
              <w:rPr>
                <w:rFonts w:ascii="仿宋_GB2312" w:hAnsi="仿宋_GB2312" w:cs="仿宋_GB2312" w:eastAsia="仿宋_GB2312"/>
              </w:rPr>
              <w:t>围绕“陕西地理标志”主题，进行整体视觉形象设计，包括活动主视觉、展区设计、宣传海报等所有宣传物料及现场布置的视觉设计。设计需主题鲜明、美观大方，体现陕西地理标志的文化内涵与品牌价值。</w:t>
            </w:r>
          </w:p>
          <w:p>
            <w:pPr>
              <w:pStyle w:val="null3"/>
            </w:pPr>
            <w:r>
              <w:rPr>
                <w:rFonts w:ascii="仿宋_GB2312" w:hAnsi="仿宋_GB2312" w:cs="仿宋_GB2312" w:eastAsia="仿宋_GB2312"/>
              </w:rPr>
              <w:t>（四）布展与现场执行要求</w:t>
            </w:r>
          </w:p>
          <w:p>
            <w:pPr>
              <w:pStyle w:val="null3"/>
            </w:pPr>
            <w:r>
              <w:rPr>
                <w:rFonts w:ascii="仿宋_GB2312" w:hAnsi="仿宋_GB2312" w:cs="仿宋_GB2312" w:eastAsia="仿宋_GB2312"/>
              </w:rPr>
              <w:t>负责展销活动的布展搭建，包括展位搭建、展架制作、灯光音响、多媒体设备等，确保物料质量与安全，符合消防、环保等相关规定。场地要求方面，需提供不低于15000平方米的户外展销场地，场地布局应满足展区划分、主舞台搭建、互动体验区、嘉宾接待区及公共通道等功能需求。活动期间提供全程会务保障，包括现场引导、秩序维护、后勤服务、应急处理等，确保活动有序进行。</w:t>
            </w:r>
          </w:p>
          <w:p>
            <w:pPr>
              <w:pStyle w:val="null3"/>
            </w:pPr>
            <w:r>
              <w:rPr>
                <w:rFonts w:ascii="仿宋_GB2312" w:hAnsi="仿宋_GB2312" w:cs="仿宋_GB2312" w:eastAsia="仿宋_GB2312"/>
              </w:rPr>
              <w:t>（五）媒体宣传与舆论监测要求</w:t>
            </w:r>
          </w:p>
          <w:p>
            <w:pPr>
              <w:pStyle w:val="null3"/>
            </w:pPr>
            <w:r>
              <w:rPr>
                <w:rFonts w:ascii="仿宋_GB2312" w:hAnsi="仿宋_GB2312" w:cs="仿宋_GB2312" w:eastAsia="仿宋_GB2312"/>
              </w:rPr>
              <w:t>制定全方位宣传推广方案，整合传统媒体与新媒体资源，开展活动前预热、活动中报道、活动后深度宣传，扩大活动影响力。媒体宣传须覆盖国家级主流媒体不少于2家，省级主流媒体不少于3家，并至少在1家具有全国影响力的网络平台进行现场直播。建立完善的舆论监测与快速应对机制，实时关注网络舆论，及时处置负面信息，维护活动品牌形象。</w:t>
            </w:r>
          </w:p>
          <w:p>
            <w:pPr>
              <w:pStyle w:val="null3"/>
            </w:pPr>
            <w:r>
              <w:rPr>
                <w:rFonts w:ascii="仿宋_GB2312" w:hAnsi="仿宋_GB2312" w:cs="仿宋_GB2312" w:eastAsia="仿宋_GB2312"/>
              </w:rPr>
              <w:t>（六）参展资质审核与合规管理</w:t>
            </w:r>
          </w:p>
          <w:p>
            <w:pPr>
              <w:pStyle w:val="null3"/>
            </w:pPr>
            <w:r>
              <w:rPr>
                <w:rFonts w:ascii="仿宋_GB2312" w:hAnsi="仿宋_GB2312" w:cs="仿宋_GB2312" w:eastAsia="仿宋_GB2312"/>
              </w:rPr>
              <w:t>严格按照国家相关法律法规及省知识产权局要求，对参展产品进行资质审核，确保所有展品均为合法合规的地理标志产品。建立健全审核流程与档案记录，做到可追溯、可核查。</w:t>
            </w:r>
          </w:p>
          <w:p>
            <w:pPr>
              <w:pStyle w:val="null3"/>
            </w:pPr>
            <w:r>
              <w:rPr>
                <w:rFonts w:ascii="仿宋_GB2312" w:hAnsi="仿宋_GB2312" w:cs="仿宋_GB2312" w:eastAsia="仿宋_GB2312"/>
              </w:rPr>
              <w:t>（七）物料设计与制作要求</w:t>
            </w:r>
          </w:p>
          <w:p>
            <w:pPr>
              <w:pStyle w:val="null3"/>
            </w:pPr>
            <w:r>
              <w:rPr>
                <w:rFonts w:ascii="仿宋_GB2312" w:hAnsi="仿宋_GB2312" w:cs="仿宋_GB2312" w:eastAsia="仿宋_GB2312"/>
              </w:rPr>
              <w:t>负责活动所需各类物料的设计与制作，包括但不限于成果手册、证件、展板等。物料需保证设计质量与印刷工艺，数量满足需求，按时交付。</w:t>
            </w:r>
          </w:p>
          <w:p>
            <w:pPr>
              <w:pStyle w:val="null3"/>
            </w:pPr>
            <w:r>
              <w:rPr>
                <w:rFonts w:ascii="仿宋_GB2312" w:hAnsi="仿宋_GB2312" w:cs="仿宋_GB2312" w:eastAsia="仿宋_GB2312"/>
              </w:rPr>
              <w:t>（八）项目服务与验收要求</w:t>
            </w:r>
          </w:p>
          <w:p>
            <w:pPr>
              <w:pStyle w:val="null3"/>
            </w:pPr>
            <w:r>
              <w:rPr>
                <w:rFonts w:ascii="仿宋_GB2312" w:hAnsi="仿宋_GB2312" w:cs="仿宋_GB2312" w:eastAsia="仿宋_GB2312"/>
              </w:rPr>
              <w:t>成立专属项目团队，提供7×24小时响应服务，定期汇报项目进展。项目结束后，整理并提交完整的项目资料包，包括策划方案、执行记录、宣传数据、设计源文件、视频图片素材等。配合采购人完成项目验收，根据验收意见及时整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合同签订后至本项目履约结束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陕西省知识产权局指定地点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①质量标准，符合国家行业相关标准。②验收：根据磋商文件、成交供应商响应文件和合同文本执行。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的服务，采购人会同采购代理机构有权终止合同和对成交投标人的违约行为进行追究。（3）成交供应商不能按期完成工作任务，每超过提交日期一天支付合同价款的千分之一，返还予采购人，作为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小微企业采购，供应商应为小型、微型企业或监狱企业或残疾人福利性单位。供应商为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磋商小组应当启动异常低价磋商审查程序：①磋商报价低于全部通过符合性审查供应商磋商报价平均值50%的，即磋商报价&lt;全部通过符合性审查供应商磋商报价平均值×50%； ②磋商报价低于通过符合性审查的次低报价供应商磋商报价50%的，即磋商报价&lt;通过符合性审查的次低报价供应商磋商报价×50%； ③磋商报价低于采购项目最高限价45%的，即磋商报价&lt;采购项目最高限价×45%； ④供应商基于专业判断，认为供应商报价过低，有可能影响产品质量或者不能诚信履约的其他情形。 二、磋商小组启动异常低价投标审查后，属于前述①至④情形的，应当要求相关供应商在评审现场合理的时间（30分钟）内对磋商价格作出解释，提供项目具体成本测算等与报价合理性相关的书面说明及必要的证明材料。书面说明应当包括：（1）按照国家财务会计制度的规定要求，逐项就供应商提供的货物、工程和服务的主营业务成本（应根据供应商企业类型予以区别）、税金及附加、原材料成本、人工成本、制造费用、销售费用、管理费用、财务费用等成本构成事项详细陈述。（2）供应商以前完成类似规模项目与类似价格的业绩证明材料（合同、发票）。其中，属于③情形，供应商已随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供应商不能证明其磋商报价合理性的或未在规定时间提交上述（1）（2）材料的或者提供的材料不齐全的或者提供的材料不被专家认可的，磋商小组均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磋商文件规定要求签署、盖章的；（2）不满足本磋商文件中“服务期限、服务地点、采购资金的支付方式及约定”的实质性条款要求的； （3）响应文件有效期不足的或无有效期的； （4）报价超过磋商文件中规定的预算金额或最高限价的； （5）法律、法规和磋商文件规定的其他无效情形。</w:t>
            </w:r>
          </w:p>
        </w:tc>
        <w:tc>
          <w:tcPr>
            <w:tcW w:type="dxa" w:w="1661"/>
          </w:tcPr>
          <w:p>
            <w:pPr>
              <w:pStyle w:val="null3"/>
            </w:pPr>
            <w:r>
              <w:rPr>
                <w:rFonts w:ascii="仿宋_GB2312" w:hAnsi="仿宋_GB2312" w:cs="仿宋_GB2312" w:eastAsia="仿宋_GB2312"/>
              </w:rPr>
              <w:t>响应文件封面 标的清单 承诺书.docx 报价表 商务部分偏离表.docx 响应函 资格证明文件.docx 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展销活动总体策划方案</w:t>
            </w:r>
          </w:p>
        </w:tc>
        <w:tc>
          <w:tcPr>
            <w:tcW w:type="dxa" w:w="2492"/>
          </w:tcPr>
          <w:p>
            <w:pPr>
              <w:pStyle w:val="null3"/>
            </w:pPr>
            <w:r>
              <w:rPr>
                <w:rFonts w:ascii="仿宋_GB2312" w:hAnsi="仿宋_GB2312" w:cs="仿宋_GB2312" w:eastAsia="仿宋_GB2312"/>
              </w:rPr>
              <w:t>供应商结合项目特点、服务内容及要求制定展销活动总体策划方案，包括但不限于：①项目需求理解及活动主题设计；②实施流程设计；③场地规划；④活动时间规划及安排；⑤嘉宾邀请；⑥线上线下融合方案等。 完全满足采购需求，无瑕疵，计12分； 方案内容每存在1处瑕疵扣1分； 未提供或内容存在12处及以上瑕疵：0分。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1展销活动总体策划方案.docx</w:t>
            </w:r>
          </w:p>
        </w:tc>
      </w:tr>
      <w:tr>
        <w:tc>
          <w:tcPr>
            <w:tcW w:type="dxa" w:w="831"/>
            <w:vMerge/>
          </w:tcPr>
          <w:p/>
        </w:tc>
        <w:tc>
          <w:tcPr>
            <w:tcW w:type="dxa" w:w="1661"/>
          </w:tcPr>
          <w:p>
            <w:pPr>
              <w:pStyle w:val="null3"/>
            </w:pPr>
            <w:r>
              <w:rPr>
                <w:rFonts w:ascii="仿宋_GB2312" w:hAnsi="仿宋_GB2312" w:cs="仿宋_GB2312" w:eastAsia="仿宋_GB2312"/>
              </w:rPr>
              <w:t>展销资源整合方案</w:t>
            </w:r>
          </w:p>
        </w:tc>
        <w:tc>
          <w:tcPr>
            <w:tcW w:type="dxa" w:w="2492"/>
          </w:tcPr>
          <w:p>
            <w:pPr>
              <w:pStyle w:val="null3"/>
            </w:pPr>
            <w:r>
              <w:rPr>
                <w:rFonts w:ascii="仿宋_GB2312" w:hAnsi="仿宋_GB2312" w:cs="仿宋_GB2312" w:eastAsia="仿宋_GB2312"/>
              </w:rPr>
              <w:t>供应商针对项目要求提供展销组织与资源整合方案，包括但不限于：①参展资源收集整合方案；②各类参展主体动员方案；③参展主体资质及展品筛选审核；④审核数据记录归档等。 完全满足采购需求，无瑕疵，计8分； 方案内容每存在1处瑕疵扣1分；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2展销资源整合方案.docx</w:t>
            </w:r>
          </w:p>
        </w:tc>
      </w:tr>
      <w:tr>
        <w:tc>
          <w:tcPr>
            <w:tcW w:type="dxa" w:w="831"/>
            <w:vMerge/>
          </w:tcPr>
          <w:p/>
        </w:tc>
        <w:tc>
          <w:tcPr>
            <w:tcW w:type="dxa" w:w="1661"/>
          </w:tcPr>
          <w:p>
            <w:pPr>
              <w:pStyle w:val="null3"/>
            </w:pPr>
            <w:r>
              <w:rPr>
                <w:rFonts w:ascii="仿宋_GB2312" w:hAnsi="仿宋_GB2312" w:cs="仿宋_GB2312" w:eastAsia="仿宋_GB2312"/>
              </w:rPr>
              <w:t>活动场地搭建及统筹方案</w:t>
            </w:r>
          </w:p>
        </w:tc>
        <w:tc>
          <w:tcPr>
            <w:tcW w:type="dxa" w:w="2492"/>
          </w:tcPr>
          <w:p>
            <w:pPr>
              <w:pStyle w:val="null3"/>
            </w:pPr>
            <w:r>
              <w:rPr>
                <w:rFonts w:ascii="仿宋_GB2312" w:hAnsi="仿宋_GB2312" w:cs="仿宋_GB2312" w:eastAsia="仿宋_GB2312"/>
              </w:rPr>
              <w:t>供应商针对本项目要求，结合“陕西地理标志”主题，提供展销活动场地搭建及统筹方案，内容包括但不限于：①场地选址及场地设计；②布展搭建方案（场地规划、动线设计、展位搭建、展架制作、灯光音响设置等）；③活动现场统筹方案（布展安排、产品陈列、互动体验等）；④会务保障方案（现场引导、秩序维护、后勤服务、安全保障等）；⑤会场应急处理方案等。 完全满足采购需求，无瑕疵，计15分； 方案内容每存在1处瑕疵扣1分； 未提供或内容存在15处及以上瑕疵：0分。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3活动场地搭建及统筹方案.docx</w:t>
            </w:r>
          </w:p>
        </w:tc>
      </w:tr>
      <w:tr>
        <w:tc>
          <w:tcPr>
            <w:tcW w:type="dxa" w:w="831"/>
            <w:vMerge/>
          </w:tcPr>
          <w:p/>
        </w:tc>
        <w:tc>
          <w:tcPr>
            <w:tcW w:type="dxa" w:w="1661"/>
          </w:tcPr>
          <w:p>
            <w:pPr>
              <w:pStyle w:val="null3"/>
            </w:pPr>
            <w:r>
              <w:rPr>
                <w:rFonts w:ascii="仿宋_GB2312" w:hAnsi="仿宋_GB2312" w:cs="仿宋_GB2312" w:eastAsia="仿宋_GB2312"/>
              </w:rPr>
              <w:t>场地视觉设计方案</w:t>
            </w:r>
          </w:p>
        </w:tc>
        <w:tc>
          <w:tcPr>
            <w:tcW w:type="dxa" w:w="2492"/>
          </w:tcPr>
          <w:p>
            <w:pPr>
              <w:pStyle w:val="null3"/>
            </w:pPr>
            <w:r>
              <w:rPr>
                <w:rFonts w:ascii="仿宋_GB2312" w:hAnsi="仿宋_GB2312" w:cs="仿宋_GB2312" w:eastAsia="仿宋_GB2312"/>
              </w:rPr>
              <w:t>供应商针对本项目要求，结合“陕西地理标志”主题，提供场地视觉设计方案，内容包括但不限于：①场地视觉设计方案；②设计进度保障方案；③设计效果保障方案等。 完全满足采购需求，无瑕疵，计6分； 方案内容每存在1处瑕疵扣1分；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4场地视觉设计方案.docx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供应商针对本项目需求提供宣传推广方案，包括但不限于：①各级媒体及各类官方媒体资源整合及对接，包含传统媒体和新媒体；②展销活动前、中、后期宣传规划推广方案；③分析各宣传媒体及宣传方式的利弊点及解决措施；④宣传效果保障方案；⑤运营方案；⑥舆论监测方案与快速应对机制。 完全满足采购需求，无瑕疵，计12分； 方案内容每存在1处瑕疵扣1分； 未提供或内容存在12处及以上瑕疵：0分。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5宣传推广方案.docx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供应商根据本项目需求配备项目服务团队，有项目负责人、有专业的策划、宣传、服务、会务以及收尾人员等。提供团队成员配备情况、岗位职责分工及拟配备团队人员的简历介绍（包括人员的年龄、学历、专业、工作经验等信息）。 完全满足采购需求，无瑕疵，计10分； 方案内容每存在1处瑕疵扣1分；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6团队人员.docx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针对本次项目实施过程中的重点、难点分析。重点、难点分析清晰合理，重点把控及难点解决思路明确，解决计划可行性强。 完全满足采购需求，无瑕疵，计4分； 方案内容每存在1处瑕疵扣1分； 未提供或内容存在4处及以上瑕疵：0分。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7重难点分析.docx</w:t>
            </w:r>
          </w:p>
        </w:tc>
      </w:tr>
      <w:tr>
        <w:tc>
          <w:tcPr>
            <w:tcW w:type="dxa" w:w="831"/>
            <w:vMerge/>
          </w:tcPr>
          <w:p/>
        </w:tc>
        <w:tc>
          <w:tcPr>
            <w:tcW w:type="dxa" w:w="1661"/>
          </w:tcPr>
          <w:p>
            <w:pPr>
              <w:pStyle w:val="null3"/>
            </w:pPr>
            <w:r>
              <w:rPr>
                <w:rFonts w:ascii="仿宋_GB2312" w:hAnsi="仿宋_GB2312" w:cs="仿宋_GB2312" w:eastAsia="仿宋_GB2312"/>
              </w:rPr>
              <w:t>拟投入多媒体设备</w:t>
            </w:r>
          </w:p>
        </w:tc>
        <w:tc>
          <w:tcPr>
            <w:tcW w:type="dxa" w:w="2492"/>
          </w:tcPr>
          <w:p>
            <w:pPr>
              <w:pStyle w:val="null3"/>
            </w:pPr>
            <w:r>
              <w:rPr>
                <w:rFonts w:ascii="仿宋_GB2312" w:hAnsi="仿宋_GB2312" w:cs="仿宋_GB2312" w:eastAsia="仿宋_GB2312"/>
              </w:rPr>
              <w:t>供应商针对服务内容及要求提供拟投入多媒体设备清单，包括：①设备名称；②设备型号；设备数量；③设备使用年限等。 完全满足项目实施，保障活动现场及宣传效果，无瑕疵，计3分； 内容每存在1处瑕疵扣1分； 未提供或内容存在3处及以上瑕疵：0分。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8拟投入多媒体设备.docx</w:t>
            </w:r>
          </w:p>
        </w:tc>
      </w:tr>
      <w:tr>
        <w:tc>
          <w:tcPr>
            <w:tcW w:type="dxa" w:w="831"/>
            <w:vMerge/>
          </w:tcPr>
          <w:p/>
        </w:tc>
        <w:tc>
          <w:tcPr>
            <w:tcW w:type="dxa" w:w="1661"/>
          </w:tcPr>
          <w:p>
            <w:pPr>
              <w:pStyle w:val="null3"/>
            </w:pPr>
            <w:r>
              <w:rPr>
                <w:rFonts w:ascii="仿宋_GB2312" w:hAnsi="仿宋_GB2312" w:cs="仿宋_GB2312" w:eastAsia="仿宋_GB2312"/>
              </w:rPr>
              <w:t>配套服务承诺</w:t>
            </w:r>
          </w:p>
        </w:tc>
        <w:tc>
          <w:tcPr>
            <w:tcW w:type="dxa" w:w="2492"/>
          </w:tcPr>
          <w:p>
            <w:pPr>
              <w:pStyle w:val="null3"/>
            </w:pPr>
            <w:r>
              <w:rPr>
                <w:rFonts w:ascii="仿宋_GB2312" w:hAnsi="仿宋_GB2312" w:cs="仿宋_GB2312" w:eastAsia="仿宋_GB2312"/>
              </w:rPr>
              <w:t>供应商针对本项目采购需求提供配套服务承诺： ①提供7×24小时响应服务，定期汇报项目进展； ②项目结束后，整理并提交完整的项目资料包，包括策划方案、执行记录、宣传数据、设计源文件、视频图片素材等； ③配合采购人完成项目验收，根据验收意见及时整改。 以上3项内容提供承诺函并加盖供应商公章，每提供1项计2分，满分6分。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9配套服务承诺.docx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2分，最高得10分。 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供应商结合采购需求针对本项目提供合理化建议。每提供一项经磋商小组一致认定有利于项目实施的建议计1分，满分4分。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11合理化建议.docx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详见附件：1展销活动总体策划方案.docx</w:t>
      </w:r>
    </w:p>
    <w:p>
      <w:pPr>
        <w:pStyle w:val="null3"/>
        <w:ind w:firstLine="960"/>
      </w:pPr>
      <w:r>
        <w:rPr>
          <w:rFonts w:ascii="仿宋_GB2312" w:hAnsi="仿宋_GB2312" w:cs="仿宋_GB2312" w:eastAsia="仿宋_GB2312"/>
        </w:rPr>
        <w:t>详见附件：2展销资源整合方案.docx</w:t>
      </w:r>
    </w:p>
    <w:p>
      <w:pPr>
        <w:pStyle w:val="null3"/>
        <w:ind w:firstLine="960"/>
      </w:pPr>
      <w:r>
        <w:rPr>
          <w:rFonts w:ascii="仿宋_GB2312" w:hAnsi="仿宋_GB2312" w:cs="仿宋_GB2312" w:eastAsia="仿宋_GB2312"/>
        </w:rPr>
        <w:t>详见附件：3活动场地搭建及统筹方案.docx</w:t>
      </w:r>
    </w:p>
    <w:p>
      <w:pPr>
        <w:pStyle w:val="null3"/>
        <w:ind w:firstLine="960"/>
      </w:pPr>
      <w:r>
        <w:rPr>
          <w:rFonts w:ascii="仿宋_GB2312" w:hAnsi="仿宋_GB2312" w:cs="仿宋_GB2312" w:eastAsia="仿宋_GB2312"/>
        </w:rPr>
        <w:t>详见附件：4场地视觉设计方案.docx</w:t>
      </w:r>
    </w:p>
    <w:p>
      <w:pPr>
        <w:pStyle w:val="null3"/>
        <w:ind w:firstLine="960"/>
      </w:pPr>
      <w:r>
        <w:rPr>
          <w:rFonts w:ascii="仿宋_GB2312" w:hAnsi="仿宋_GB2312" w:cs="仿宋_GB2312" w:eastAsia="仿宋_GB2312"/>
        </w:rPr>
        <w:t>详见附件：5宣传推广方案.docx</w:t>
      </w:r>
    </w:p>
    <w:p>
      <w:pPr>
        <w:pStyle w:val="null3"/>
        <w:ind w:firstLine="960"/>
      </w:pPr>
      <w:r>
        <w:rPr>
          <w:rFonts w:ascii="仿宋_GB2312" w:hAnsi="仿宋_GB2312" w:cs="仿宋_GB2312" w:eastAsia="仿宋_GB2312"/>
        </w:rPr>
        <w:t>详见附件：6团队人员.docx</w:t>
      </w:r>
    </w:p>
    <w:p>
      <w:pPr>
        <w:pStyle w:val="null3"/>
        <w:ind w:firstLine="960"/>
      </w:pPr>
      <w:r>
        <w:rPr>
          <w:rFonts w:ascii="仿宋_GB2312" w:hAnsi="仿宋_GB2312" w:cs="仿宋_GB2312" w:eastAsia="仿宋_GB2312"/>
        </w:rPr>
        <w:t>详见附件：7重难点分析.docx</w:t>
      </w:r>
    </w:p>
    <w:p>
      <w:pPr>
        <w:pStyle w:val="null3"/>
        <w:ind w:firstLine="960"/>
      </w:pPr>
      <w:r>
        <w:rPr>
          <w:rFonts w:ascii="仿宋_GB2312" w:hAnsi="仿宋_GB2312" w:cs="仿宋_GB2312" w:eastAsia="仿宋_GB2312"/>
        </w:rPr>
        <w:t>详见附件：8拟投入多媒体设备.docx</w:t>
      </w:r>
    </w:p>
    <w:p>
      <w:pPr>
        <w:pStyle w:val="null3"/>
        <w:ind w:firstLine="960"/>
      </w:pPr>
      <w:r>
        <w:rPr>
          <w:rFonts w:ascii="仿宋_GB2312" w:hAnsi="仿宋_GB2312" w:cs="仿宋_GB2312" w:eastAsia="仿宋_GB2312"/>
        </w:rPr>
        <w:t>详见附件：9配套服务承诺.docx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详见附件：11合理化建议.docx</w:t>
      </w:r>
    </w:p>
    <w:p>
      <w:pPr>
        <w:pStyle w:val="null3"/>
        <w:ind w:firstLine="960"/>
      </w:pPr>
      <w:r>
        <w:rPr>
          <w:rFonts w:ascii="仿宋_GB2312" w:hAnsi="仿宋_GB2312" w:cs="仿宋_GB2312" w:eastAsia="仿宋_GB2312"/>
        </w:rPr>
        <w:t>详见附件：商务部分偏离表.docx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