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版本号：ZJZB2026--CS1001(三次)20260325001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2026年度机关后勤服务项目(三次)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ZJZB2026--CS1001(三次)</w:t>
      </w:r>
      <w:r>
        <w:br/>
      </w:r>
      <w:r>
        <w:br/>
      </w:r>
      <w:r>
        <w:br/>
      </w:r>
    </w:p>
    <w:p>
      <w:pPr>
        <w:pStyle w:val="null3"/>
        <w:jc w:val="center"/>
        <w:outlineLvl w:val="2"/>
      </w:pPr>
      <w:r>
        <w:rPr>
          <w:rFonts w:ascii="仿宋_GB2312" w:hAnsi="仿宋_GB2312" w:cs="仿宋_GB2312" w:eastAsia="仿宋_GB2312"/>
          <w:sz w:val="28"/>
          <w:b/>
        </w:rPr>
        <w:t>省人民检察院</w:t>
      </w:r>
    </w:p>
    <w:p>
      <w:pPr>
        <w:pStyle w:val="null3"/>
        <w:jc w:val="center"/>
        <w:outlineLvl w:val="2"/>
      </w:pPr>
      <w:r>
        <w:rPr>
          <w:rFonts w:ascii="仿宋_GB2312" w:hAnsi="仿宋_GB2312" w:cs="仿宋_GB2312" w:eastAsia="仿宋_GB2312"/>
          <w:sz w:val="28"/>
          <w:b/>
        </w:rPr>
        <w:t>陕西中基项目管理有限公司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陕西中基项目管理有限公司</w:t>
      </w:r>
      <w:r>
        <w:rPr>
          <w:rFonts w:ascii="仿宋_GB2312" w:hAnsi="仿宋_GB2312" w:cs="仿宋_GB2312" w:eastAsia="仿宋_GB2312"/>
        </w:rPr>
        <w:t>（以下简称“代理机构”）受</w:t>
      </w:r>
      <w:r>
        <w:rPr>
          <w:rFonts w:ascii="仿宋_GB2312" w:hAnsi="仿宋_GB2312" w:cs="仿宋_GB2312" w:eastAsia="仿宋_GB2312"/>
        </w:rPr>
        <w:t>省人民检察院</w:t>
      </w:r>
      <w:r>
        <w:rPr>
          <w:rFonts w:ascii="仿宋_GB2312" w:hAnsi="仿宋_GB2312" w:cs="仿宋_GB2312" w:eastAsia="仿宋_GB2312"/>
        </w:rPr>
        <w:t>委托，拟对</w:t>
      </w:r>
      <w:r>
        <w:rPr>
          <w:rFonts w:ascii="仿宋_GB2312" w:hAnsi="仿宋_GB2312" w:cs="仿宋_GB2312" w:eastAsia="仿宋_GB2312"/>
        </w:rPr>
        <w:t>2026年度机关后勤服务项目(三次)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ZJZB2026--CS1001(三次)</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2026年度机关后勤服务项目(三次)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省院机关后勤服务内容包含车辆日常保养使用、机关文档资料规整、后勤财务资料和事务办理及医护管理等。供应商成交后，应与采购人签署服务协议，在协议有效期内向采购人提供车辆驾驶及后勤服务。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采购包1（2026年度机关后勤服务项目）：属于专门面向中小企业采购。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1、法定代表人授权委托书：法定代表人授权委托书、被授权人身份证（法定代表人参加投标时,只需提供法定代表人身份证）；</w:t>
      </w:r>
    </w:p>
    <w:p>
      <w:pPr>
        <w:pStyle w:val="null3"/>
      </w:pPr>
      <w:r>
        <w:rPr>
          <w:rFonts w:ascii="仿宋_GB2312" w:hAnsi="仿宋_GB2312" w:cs="仿宋_GB2312" w:eastAsia="仿宋_GB2312"/>
        </w:rPr>
        <w:t>2、信誉要求：供应商不得为“信用中国”网站（www.creditchina.gov.cn）中列入失信被执行人和重大税收违法失信主体”，不得为中国政府采购网（www.ccgp.gov.cn）政府采购严重违法失信行为记录名单中被财政部门禁止参加政府采购活动的供应商。（提供查询结果网页截图并加盖投标人公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省人民检察院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西安市新城区西新街1号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省人民检察院经办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029-87290211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陕西中基项目管理有限公司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陕西省西安市高新区高新路56号电信广场金融商务中心(东门) 裙楼4F</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招标代理中心曾艳、高杰、高凯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029-88336376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依据国家计委颁布《招标代理服务收费管理暂行办法》（计价格[2002]1980号）、国家发展和改革委员会办公厅颁发的《关于招标代理服务收费有关问题的通知》（发改办价格[2003]857号）文件规定执行。 2、招标代理服务费由中标人支付，在领取《中标通知书》前，由中标人一次性支付给陕西中基项目管理有限公司。 3、招标代理服务费缴纳账户： 账户名称：陕西中基项目管理有限公司 开户银行：招商银行股份有限公司西安小寨支行 账号：999008462710001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省人民检察院</w:t>
      </w:r>
      <w:r>
        <w:rPr>
          <w:rFonts w:ascii="仿宋_GB2312" w:hAnsi="仿宋_GB2312" w:cs="仿宋_GB2312" w:eastAsia="仿宋_GB2312"/>
        </w:rPr>
        <w:t>和</w:t>
      </w:r>
      <w:r>
        <w:rPr>
          <w:rFonts w:ascii="仿宋_GB2312" w:hAnsi="仿宋_GB2312" w:cs="仿宋_GB2312" w:eastAsia="仿宋_GB2312"/>
        </w:rPr>
        <w:t>陕西中基项目管理有限公司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省人民检察院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陕西中基项目管理有限公司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省人民检察院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陕西中基项目管理有限公司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符合国家标准、行业标准以及有关技术规范要求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陕西中基项目管理有限公司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陕西中基项目管理有限公司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陕西中基项目管理有限公司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联系人：曾艳</w:t>
      </w:r>
    </w:p>
    <w:p>
      <w:pPr>
        <w:pStyle w:val="null3"/>
      </w:pPr>
      <w:r>
        <w:rPr>
          <w:rFonts w:ascii="仿宋_GB2312" w:hAnsi="仿宋_GB2312" w:cs="仿宋_GB2312" w:eastAsia="仿宋_GB2312"/>
        </w:rPr>
        <w:t>联系电话：029-88336376</w:t>
      </w:r>
    </w:p>
    <w:p>
      <w:pPr>
        <w:pStyle w:val="null3"/>
      </w:pPr>
      <w:r>
        <w:rPr>
          <w:rFonts w:ascii="仿宋_GB2312" w:hAnsi="仿宋_GB2312" w:cs="仿宋_GB2312" w:eastAsia="仿宋_GB2312"/>
        </w:rPr>
        <w:t>地址：陕西省西安市高新区高新路56号电信广场金融商务中心(东门) 裙楼4F</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省院机关后勤服务内容包含车辆日常保养使用、机关文档资料规整、后勤财务资料和事务办理及医护管理等。供应商成交后，应与采购人签署服务协议，在协议有效期内向采购人提供车辆驾驶及后勤服务。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2,180,000.00</w:t>
      </w:r>
    </w:p>
    <w:p>
      <w:pPr>
        <w:pStyle w:val="null3"/>
      </w:pPr>
      <w:r>
        <w:rPr>
          <w:rFonts w:ascii="仿宋_GB2312" w:hAnsi="仿宋_GB2312" w:cs="仿宋_GB2312" w:eastAsia="仿宋_GB2312"/>
        </w:rPr>
        <w:t>采购包最高限价（元）: 2,180,000.00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省检察院2026年度后勤服务项目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2,180,000.00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标的名称：省检察院2026年度后勤服务项目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18"/>
                <w:b/>
              </w:rPr>
              <w:t>一、服务内容</w:t>
            </w:r>
          </w:p>
          <w:p>
            <w:pPr>
              <w:pStyle w:val="null3"/>
              <w:ind w:firstLine="480"/>
              <w:jc w:val="both"/>
            </w:pPr>
            <w:r>
              <w:rPr>
                <w:rFonts w:ascii="仿宋_GB2312" w:hAnsi="仿宋_GB2312" w:cs="仿宋_GB2312" w:eastAsia="仿宋_GB2312"/>
                <w:sz w:val="18"/>
              </w:rPr>
              <w:t>省院机关后勤服务内容包含车辆日常保养使用、机关文档资料规整、后勤财务资料和事务办理及医护管理等。供应商成交后，应与采购人签署服务协议，在协议有效期内向采购人提供车辆驾驶及后勤服务。</w:t>
            </w:r>
          </w:p>
          <w:p>
            <w:pPr>
              <w:pStyle w:val="null3"/>
              <w:ind w:firstLine="482"/>
              <w:jc w:val="both"/>
            </w:pPr>
            <w:r>
              <w:rPr>
                <w:rFonts w:ascii="仿宋_GB2312" w:hAnsi="仿宋_GB2312" w:cs="仿宋_GB2312" w:eastAsia="仿宋_GB2312"/>
                <w:sz w:val="18"/>
                <w:b/>
              </w:rPr>
              <w:t>(一)服务雇员管理：</w:t>
            </w:r>
          </w:p>
          <w:p>
            <w:pPr>
              <w:pStyle w:val="null3"/>
              <w:ind w:firstLine="480"/>
              <w:jc w:val="both"/>
            </w:pPr>
            <w:r>
              <w:rPr>
                <w:rFonts w:ascii="仿宋_GB2312" w:hAnsi="仿宋_GB2312" w:cs="仿宋_GB2312" w:eastAsia="仿宋_GB2312"/>
                <w:sz w:val="18"/>
              </w:rPr>
              <w:t>1.招聘服务：</w:t>
            </w:r>
          </w:p>
          <w:p>
            <w:pPr>
              <w:pStyle w:val="null3"/>
              <w:ind w:firstLine="480"/>
              <w:jc w:val="both"/>
            </w:pPr>
            <w:r>
              <w:rPr>
                <w:rFonts w:ascii="仿宋_GB2312" w:hAnsi="仿宋_GB2312" w:cs="仿宋_GB2312" w:eastAsia="仿宋_GB2312"/>
                <w:sz w:val="18"/>
              </w:rPr>
              <w:t>按照采购单位服务内容要求，制定招聘计划并发布招聘信息，由供应商负责招募筛选应聘者、面试、评估，并发放录用通知书。</w:t>
            </w:r>
          </w:p>
          <w:p>
            <w:pPr>
              <w:pStyle w:val="null3"/>
              <w:ind w:firstLine="480"/>
              <w:jc w:val="both"/>
            </w:pPr>
            <w:r>
              <w:rPr>
                <w:rFonts w:ascii="仿宋_GB2312" w:hAnsi="仿宋_GB2312" w:cs="仿宋_GB2312" w:eastAsia="仿宋_GB2312"/>
                <w:sz w:val="18"/>
              </w:rPr>
              <w:t>2.岗位培训：</w:t>
            </w:r>
          </w:p>
          <w:p>
            <w:pPr>
              <w:pStyle w:val="null3"/>
              <w:ind w:firstLine="480"/>
              <w:jc w:val="both"/>
            </w:pPr>
            <w:r>
              <w:rPr>
                <w:rFonts w:ascii="仿宋_GB2312" w:hAnsi="仿宋_GB2312" w:cs="仿宋_GB2312" w:eastAsia="仿宋_GB2312"/>
                <w:sz w:val="18"/>
              </w:rPr>
              <w:t>供应商进行全面的岗位培训，了解任务要求和工作流程，对新员工实施全面的岗位培训，以确保其能够胜任相应工作。</w:t>
            </w:r>
          </w:p>
          <w:p>
            <w:pPr>
              <w:pStyle w:val="null3"/>
              <w:ind w:firstLine="480"/>
              <w:jc w:val="both"/>
            </w:pPr>
            <w:r>
              <w:rPr>
                <w:rFonts w:ascii="仿宋_GB2312" w:hAnsi="仿宋_GB2312" w:cs="仿宋_GB2312" w:eastAsia="仿宋_GB2312"/>
                <w:sz w:val="18"/>
              </w:rPr>
              <w:t>3.绩效考核：</w:t>
            </w:r>
          </w:p>
          <w:p>
            <w:pPr>
              <w:pStyle w:val="null3"/>
              <w:ind w:firstLine="480"/>
              <w:jc w:val="both"/>
            </w:pPr>
            <w:r>
              <w:rPr>
                <w:rFonts w:ascii="仿宋_GB2312" w:hAnsi="仿宋_GB2312" w:cs="仿宋_GB2312" w:eastAsia="仿宋_GB2312"/>
                <w:sz w:val="18"/>
              </w:rPr>
              <w:t>由供应商制定绩效考核标准，包括量化指标和非量化指标，根据标准对员工进行定期考核，由供应商制定个人绩效报告。</w:t>
            </w:r>
          </w:p>
          <w:p>
            <w:pPr>
              <w:pStyle w:val="null3"/>
              <w:ind w:firstLine="480"/>
              <w:jc w:val="both"/>
            </w:pPr>
            <w:r>
              <w:rPr>
                <w:rFonts w:ascii="仿宋_GB2312" w:hAnsi="仿宋_GB2312" w:cs="仿宋_GB2312" w:eastAsia="仿宋_GB2312"/>
                <w:sz w:val="18"/>
              </w:rPr>
              <w:t>4.驻场管理：人员考勤，休息休假管理，培训及考核等管理。</w:t>
            </w:r>
          </w:p>
          <w:p>
            <w:pPr>
              <w:pStyle w:val="null3"/>
              <w:ind w:firstLine="482"/>
              <w:jc w:val="both"/>
            </w:pPr>
            <w:r>
              <w:rPr>
                <w:rFonts w:ascii="仿宋_GB2312" w:hAnsi="仿宋_GB2312" w:cs="仿宋_GB2312" w:eastAsia="仿宋_GB2312"/>
                <w:sz w:val="18"/>
                <w:b/>
              </w:rPr>
              <w:t>(二)车辆日常维护保养</w:t>
            </w:r>
          </w:p>
          <w:p>
            <w:pPr>
              <w:pStyle w:val="null3"/>
              <w:ind w:firstLine="480"/>
              <w:jc w:val="both"/>
            </w:pPr>
            <w:r>
              <w:rPr>
                <w:rFonts w:ascii="仿宋_GB2312" w:hAnsi="仿宋_GB2312" w:cs="仿宋_GB2312" w:eastAsia="仿宋_GB2312"/>
                <w:sz w:val="18"/>
              </w:rPr>
              <w:t>供应商从采购单位获取车辆的档案信息，车辆性能状况、运行使用和检测维修情况的完整记录。保管好车辆年审、维护资料：包括行驶证、年审记录、维护记录等。建立详细装备资料表格，进行检查并记录归档。包括例行保养、记录车辆维护、修理、检测的日期、行驶里程方面的资料。</w:t>
            </w:r>
          </w:p>
          <w:p>
            <w:pPr>
              <w:pStyle w:val="null3"/>
              <w:ind w:firstLine="480"/>
              <w:jc w:val="both"/>
            </w:pPr>
            <w:r>
              <w:rPr>
                <w:rFonts w:ascii="仿宋_GB2312" w:hAnsi="仿宋_GB2312" w:cs="仿宋_GB2312" w:eastAsia="仿宋_GB2312"/>
                <w:sz w:val="18"/>
              </w:rPr>
              <w:t>供应商为采购单位提供驾驶员和车辆的日常保养和维护工作，确保车辆状态良好、确保行车安全。根据实际情况定期去指定维修厂更换机油、空气滤清器等易损件，进行车辆日常保养，如清洗内外部、检查轮胎及制动系统等。</w:t>
            </w:r>
          </w:p>
          <w:p>
            <w:pPr>
              <w:pStyle w:val="null3"/>
              <w:ind w:firstLine="482"/>
              <w:jc w:val="both"/>
            </w:pPr>
            <w:r>
              <w:rPr>
                <w:rFonts w:ascii="仿宋_GB2312" w:hAnsi="仿宋_GB2312" w:cs="仿宋_GB2312" w:eastAsia="仿宋_GB2312"/>
                <w:sz w:val="18"/>
                <w:b/>
              </w:rPr>
              <w:t>(三)服务项目管理</w:t>
            </w:r>
          </w:p>
          <w:p>
            <w:pPr>
              <w:pStyle w:val="null3"/>
              <w:ind w:firstLine="480"/>
              <w:jc w:val="both"/>
            </w:pPr>
            <w:r>
              <w:rPr>
                <w:rFonts w:ascii="仿宋_GB2312" w:hAnsi="仿宋_GB2312" w:cs="仿宋_GB2312" w:eastAsia="仿宋_GB2312"/>
                <w:sz w:val="18"/>
              </w:rPr>
              <w:t>服务管理人员根据工作要求，配备服务工作人员，包括驾驶员及后勤保障人员，对工作做出合理安排，使其在指定时间内完成相应的工作安排，确保任务、计划的安全完成。</w:t>
            </w:r>
          </w:p>
          <w:p>
            <w:pPr>
              <w:pStyle w:val="null3"/>
              <w:jc w:val="both"/>
            </w:pPr>
            <w:r>
              <w:rPr>
                <w:rFonts w:ascii="仿宋_GB2312" w:hAnsi="仿宋_GB2312" w:cs="仿宋_GB2312" w:eastAsia="仿宋_GB2312"/>
                <w:sz w:val="18"/>
              </w:rPr>
              <w:t xml:space="preserve">   1.根据采购单位的工作部署，提前做出行计划与工作时间表。</w:t>
            </w:r>
          </w:p>
          <w:p>
            <w:pPr>
              <w:pStyle w:val="null3"/>
              <w:ind w:firstLine="480"/>
              <w:jc w:val="both"/>
            </w:pPr>
            <w:r>
              <w:rPr>
                <w:rFonts w:ascii="仿宋_GB2312" w:hAnsi="仿宋_GB2312" w:cs="仿宋_GB2312" w:eastAsia="仿宋_GB2312"/>
                <w:sz w:val="18"/>
              </w:rPr>
              <w:t>2.了解车辆的状况，及时排查各项安全隐患。</w:t>
            </w:r>
          </w:p>
          <w:p>
            <w:pPr>
              <w:pStyle w:val="null3"/>
              <w:ind w:firstLine="480"/>
              <w:jc w:val="both"/>
            </w:pPr>
            <w:r>
              <w:rPr>
                <w:rFonts w:ascii="仿宋_GB2312" w:hAnsi="仿宋_GB2312" w:cs="仿宋_GB2312" w:eastAsia="仿宋_GB2312"/>
                <w:sz w:val="18"/>
              </w:rPr>
              <w:t>3.掌握驾驶员的工作状态，合理安排调休及工作时间。</w:t>
            </w:r>
          </w:p>
          <w:p>
            <w:pPr>
              <w:pStyle w:val="null3"/>
              <w:ind w:firstLine="480"/>
              <w:jc w:val="both"/>
            </w:pPr>
            <w:r>
              <w:rPr>
                <w:rFonts w:ascii="仿宋_GB2312" w:hAnsi="仿宋_GB2312" w:cs="仿宋_GB2312" w:eastAsia="仿宋_GB2312"/>
                <w:sz w:val="18"/>
              </w:rPr>
              <w:t>4.要求驾驶员进行严格遵守道路交通安全规则，确保车辆行车安全。</w:t>
            </w:r>
          </w:p>
          <w:p>
            <w:pPr>
              <w:pStyle w:val="null3"/>
              <w:ind w:firstLine="480"/>
              <w:jc w:val="both"/>
            </w:pPr>
            <w:r>
              <w:rPr>
                <w:rFonts w:ascii="仿宋_GB2312" w:hAnsi="仿宋_GB2312" w:cs="仿宋_GB2312" w:eastAsia="仿宋_GB2312"/>
                <w:sz w:val="18"/>
              </w:rPr>
              <w:t>5.配合采购单位完成后勤保障服务工作，及其他事务性工作等</w:t>
            </w:r>
          </w:p>
          <w:p>
            <w:pPr>
              <w:pStyle w:val="null3"/>
              <w:ind w:firstLine="482"/>
              <w:jc w:val="both"/>
            </w:pPr>
            <w:r>
              <w:rPr>
                <w:rFonts w:ascii="仿宋_GB2312" w:hAnsi="仿宋_GB2312" w:cs="仿宋_GB2312" w:eastAsia="仿宋_GB2312"/>
                <w:sz w:val="18"/>
                <w:b/>
              </w:rPr>
              <w:t>二、对服务公司(成交供应商)的服务要求</w:t>
            </w:r>
          </w:p>
          <w:p>
            <w:pPr>
              <w:pStyle w:val="null3"/>
              <w:ind w:firstLine="482"/>
              <w:jc w:val="both"/>
            </w:pPr>
            <w:r>
              <w:rPr>
                <w:rFonts w:ascii="仿宋_GB2312" w:hAnsi="仿宋_GB2312" w:cs="仿宋_GB2312" w:eastAsia="仿宋_GB2312"/>
                <w:sz w:val="18"/>
                <w:b/>
              </w:rPr>
              <w:t>(一)招聘全流程服务</w:t>
            </w:r>
          </w:p>
          <w:p>
            <w:pPr>
              <w:pStyle w:val="null3"/>
              <w:ind w:firstLine="482"/>
              <w:jc w:val="both"/>
            </w:pPr>
            <w:r>
              <w:rPr>
                <w:rFonts w:ascii="仿宋_GB2312" w:hAnsi="仿宋_GB2312" w:cs="仿宋_GB2312" w:eastAsia="仿宋_GB2312"/>
                <w:sz w:val="18"/>
                <w:b/>
              </w:rPr>
              <w:t>(二)服务人员基本配置要求</w:t>
            </w:r>
          </w:p>
          <w:p>
            <w:pPr>
              <w:pStyle w:val="null3"/>
              <w:ind w:firstLine="480"/>
              <w:jc w:val="both"/>
            </w:pPr>
            <w:r>
              <w:rPr>
                <w:rFonts w:ascii="仿宋_GB2312" w:hAnsi="仿宋_GB2312" w:cs="仿宋_GB2312" w:eastAsia="仿宋_GB2312"/>
                <w:sz w:val="18"/>
              </w:rPr>
              <w:t>根据本次服务项目采购工作需求，拟定人员配备服务总人数不少于31名，其中：驾驶员不少于23名，后勤服务人员不少于8名。</w:t>
            </w:r>
          </w:p>
          <w:p>
            <w:pPr>
              <w:pStyle w:val="null3"/>
              <w:ind w:firstLine="480"/>
              <w:jc w:val="both"/>
            </w:pPr>
            <w:r>
              <w:rPr>
                <w:rFonts w:ascii="仿宋_GB2312" w:hAnsi="仿宋_GB2312" w:cs="仿宋_GB2312" w:eastAsia="仿宋_GB2312"/>
                <w:sz w:val="18"/>
              </w:rPr>
              <w:t>1.大车司机不少于5名，须持A2驾驶证及以上；</w:t>
            </w:r>
          </w:p>
          <w:p>
            <w:pPr>
              <w:pStyle w:val="null3"/>
              <w:ind w:firstLine="480"/>
              <w:jc w:val="both"/>
            </w:pPr>
            <w:r>
              <w:rPr>
                <w:rFonts w:ascii="仿宋_GB2312" w:hAnsi="仿宋_GB2312" w:cs="仿宋_GB2312" w:eastAsia="仿宋_GB2312"/>
                <w:sz w:val="18"/>
              </w:rPr>
              <w:t>2.小车司机不少于18名，须持C1驾驶证及以上；</w:t>
            </w:r>
          </w:p>
          <w:p>
            <w:pPr>
              <w:pStyle w:val="null3"/>
              <w:ind w:firstLine="480"/>
              <w:jc w:val="both"/>
            </w:pPr>
            <w:r>
              <w:rPr>
                <w:rFonts w:ascii="仿宋_GB2312" w:hAnsi="仿宋_GB2312" w:cs="仿宋_GB2312" w:eastAsia="仿宋_GB2312"/>
                <w:sz w:val="18"/>
              </w:rPr>
              <w:t>3.后勤人员不少于5名(其中打字员不少于4名，资料员不少于1名);</w:t>
            </w:r>
          </w:p>
          <w:p>
            <w:pPr>
              <w:pStyle w:val="null3"/>
              <w:ind w:firstLine="480"/>
              <w:jc w:val="both"/>
            </w:pPr>
            <w:r>
              <w:rPr>
                <w:rFonts w:ascii="仿宋_GB2312" w:hAnsi="仿宋_GB2312" w:cs="仿宋_GB2312" w:eastAsia="仿宋_GB2312"/>
                <w:sz w:val="18"/>
              </w:rPr>
              <w:t>4.会计不少于1名(中级);</w:t>
            </w:r>
          </w:p>
          <w:p>
            <w:pPr>
              <w:pStyle w:val="null3"/>
              <w:ind w:firstLine="480"/>
              <w:jc w:val="both"/>
            </w:pPr>
            <w:r>
              <w:rPr>
                <w:rFonts w:ascii="仿宋_GB2312" w:hAnsi="仿宋_GB2312" w:cs="仿宋_GB2312" w:eastAsia="仿宋_GB2312"/>
                <w:sz w:val="18"/>
              </w:rPr>
              <w:t>5.会计不少于1名(初级);</w:t>
            </w:r>
          </w:p>
          <w:p>
            <w:pPr>
              <w:pStyle w:val="null3"/>
              <w:ind w:firstLine="480"/>
              <w:jc w:val="both"/>
            </w:pPr>
            <w:r>
              <w:rPr>
                <w:rFonts w:ascii="仿宋_GB2312" w:hAnsi="仿宋_GB2312" w:cs="仿宋_GB2312" w:eastAsia="仿宋_GB2312"/>
                <w:sz w:val="18"/>
              </w:rPr>
              <w:t>6.卫生室及部分财务不少于1名。</w:t>
            </w:r>
          </w:p>
          <w:p>
            <w:pPr>
              <w:pStyle w:val="null3"/>
              <w:ind w:firstLine="482"/>
              <w:jc w:val="both"/>
            </w:pPr>
            <w:r>
              <w:rPr>
                <w:rFonts w:ascii="仿宋_GB2312" w:hAnsi="仿宋_GB2312" w:cs="仿宋_GB2312" w:eastAsia="仿宋_GB2312"/>
                <w:sz w:val="18"/>
                <w:b/>
              </w:rPr>
              <w:t>(三)服务管理要求</w:t>
            </w:r>
          </w:p>
          <w:p>
            <w:pPr>
              <w:pStyle w:val="null3"/>
              <w:ind w:firstLine="480"/>
              <w:jc w:val="both"/>
            </w:pPr>
            <w:r>
              <w:rPr>
                <w:rFonts w:ascii="仿宋_GB2312" w:hAnsi="仿宋_GB2312" w:cs="仿宋_GB2312" w:eastAsia="仿宋_GB2312"/>
                <w:sz w:val="18"/>
              </w:rPr>
              <w:t>1.服务人员劳动关系须有合法的劳动合同；</w:t>
            </w:r>
          </w:p>
          <w:p>
            <w:pPr>
              <w:pStyle w:val="null3"/>
              <w:ind w:firstLine="480"/>
              <w:jc w:val="both"/>
            </w:pPr>
            <w:r>
              <w:rPr>
                <w:rFonts w:ascii="仿宋_GB2312" w:hAnsi="仿宋_GB2312" w:cs="仿宋_GB2312" w:eastAsia="仿宋_GB2312"/>
                <w:sz w:val="18"/>
              </w:rPr>
              <w:t>2.服务人员工作日常管理及档案的建立；</w:t>
            </w:r>
          </w:p>
          <w:p>
            <w:pPr>
              <w:pStyle w:val="null3"/>
              <w:ind w:firstLine="480"/>
              <w:jc w:val="both"/>
            </w:pPr>
            <w:r>
              <w:rPr>
                <w:rFonts w:ascii="仿宋_GB2312" w:hAnsi="仿宋_GB2312" w:cs="仿宋_GB2312" w:eastAsia="仿宋_GB2312"/>
                <w:sz w:val="18"/>
              </w:rPr>
              <w:t>3.服务人员工资核算、发放；</w:t>
            </w:r>
          </w:p>
          <w:p>
            <w:pPr>
              <w:pStyle w:val="null3"/>
              <w:ind w:firstLine="480"/>
              <w:jc w:val="both"/>
            </w:pPr>
            <w:r>
              <w:rPr>
                <w:rFonts w:ascii="仿宋_GB2312" w:hAnsi="仿宋_GB2312" w:cs="仿宋_GB2312" w:eastAsia="仿宋_GB2312"/>
                <w:sz w:val="18"/>
              </w:rPr>
              <w:t>4.服务人员社会保险的交纳、享受及办理；</w:t>
            </w:r>
          </w:p>
          <w:p>
            <w:pPr>
              <w:pStyle w:val="null3"/>
              <w:ind w:firstLine="480"/>
              <w:jc w:val="both"/>
            </w:pPr>
            <w:r>
              <w:rPr>
                <w:rFonts w:ascii="仿宋_GB2312" w:hAnsi="仿宋_GB2312" w:cs="仿宋_GB2312" w:eastAsia="仿宋_GB2312"/>
                <w:sz w:val="18"/>
              </w:rPr>
              <w:t>5.服务人员工作安全风险防控；</w:t>
            </w:r>
          </w:p>
          <w:p>
            <w:pPr>
              <w:pStyle w:val="null3"/>
              <w:ind w:firstLine="480"/>
              <w:jc w:val="both"/>
            </w:pPr>
            <w:r>
              <w:rPr>
                <w:rFonts w:ascii="仿宋_GB2312" w:hAnsi="仿宋_GB2312" w:cs="仿宋_GB2312" w:eastAsia="仿宋_GB2312"/>
                <w:sz w:val="18"/>
              </w:rPr>
              <w:t>6.服务人员的劳动争议处理；</w:t>
            </w:r>
          </w:p>
          <w:p>
            <w:pPr>
              <w:pStyle w:val="null3"/>
              <w:ind w:firstLine="480"/>
              <w:jc w:val="both"/>
            </w:pPr>
            <w:r>
              <w:rPr>
                <w:rFonts w:ascii="仿宋_GB2312" w:hAnsi="仿宋_GB2312" w:cs="仿宋_GB2312" w:eastAsia="仿宋_GB2312"/>
                <w:sz w:val="18"/>
              </w:rPr>
              <w:t>7.服务人员关系维护(定期走访、疑难问题解答等)；</w:t>
            </w:r>
          </w:p>
          <w:p>
            <w:pPr>
              <w:pStyle w:val="null3"/>
              <w:ind w:firstLine="480"/>
              <w:jc w:val="both"/>
            </w:pPr>
            <w:r>
              <w:rPr>
                <w:rFonts w:ascii="仿宋_GB2312" w:hAnsi="仿宋_GB2312" w:cs="仿宋_GB2312" w:eastAsia="仿宋_GB2312"/>
                <w:sz w:val="18"/>
              </w:rPr>
              <w:t>8.提供服务人员相关的证件。</w:t>
            </w:r>
          </w:p>
          <w:p>
            <w:pPr>
              <w:pStyle w:val="null3"/>
              <w:ind w:firstLine="482"/>
              <w:jc w:val="both"/>
            </w:pPr>
            <w:r>
              <w:rPr>
                <w:rFonts w:ascii="仿宋_GB2312" w:hAnsi="仿宋_GB2312" w:cs="仿宋_GB2312" w:eastAsia="仿宋_GB2312"/>
                <w:sz w:val="18"/>
                <w:b/>
              </w:rPr>
              <w:t>(四)服务培训要求</w:t>
            </w:r>
          </w:p>
          <w:p>
            <w:pPr>
              <w:pStyle w:val="null3"/>
              <w:ind w:firstLine="480"/>
              <w:jc w:val="both"/>
            </w:pPr>
            <w:r>
              <w:rPr>
                <w:rFonts w:ascii="仿宋_GB2312" w:hAnsi="仿宋_GB2312" w:cs="仿宋_GB2312" w:eastAsia="仿宋_GB2312"/>
                <w:sz w:val="18"/>
              </w:rPr>
              <w:t>1.专业技能培训；</w:t>
            </w:r>
          </w:p>
          <w:p>
            <w:pPr>
              <w:pStyle w:val="null3"/>
              <w:ind w:firstLine="480"/>
              <w:jc w:val="both"/>
            </w:pPr>
            <w:r>
              <w:rPr>
                <w:rFonts w:ascii="仿宋_GB2312" w:hAnsi="仿宋_GB2312" w:cs="仿宋_GB2312" w:eastAsia="仿宋_GB2312"/>
                <w:sz w:val="18"/>
              </w:rPr>
              <w:t>2.职业道德培训；</w:t>
            </w:r>
          </w:p>
          <w:p>
            <w:pPr>
              <w:pStyle w:val="null3"/>
              <w:ind w:firstLine="480"/>
              <w:jc w:val="both"/>
            </w:pPr>
            <w:r>
              <w:rPr>
                <w:rFonts w:ascii="仿宋_GB2312" w:hAnsi="仿宋_GB2312" w:cs="仿宋_GB2312" w:eastAsia="仿宋_GB2312"/>
                <w:sz w:val="18"/>
              </w:rPr>
              <w:t>3.法律、法规及政策培训；</w:t>
            </w:r>
          </w:p>
          <w:p>
            <w:pPr>
              <w:pStyle w:val="null3"/>
              <w:ind w:firstLine="480"/>
              <w:jc w:val="both"/>
            </w:pPr>
            <w:r>
              <w:rPr>
                <w:rFonts w:ascii="仿宋_GB2312" w:hAnsi="仿宋_GB2312" w:cs="仿宋_GB2312" w:eastAsia="仿宋_GB2312"/>
                <w:sz w:val="18"/>
              </w:rPr>
              <w:t>4.安全教育和保密教育等；</w:t>
            </w:r>
          </w:p>
          <w:p>
            <w:pPr>
              <w:pStyle w:val="null3"/>
              <w:ind w:firstLine="480"/>
              <w:jc w:val="both"/>
            </w:pPr>
            <w:r>
              <w:rPr>
                <w:rFonts w:ascii="仿宋_GB2312" w:hAnsi="仿宋_GB2312" w:cs="仿宋_GB2312" w:eastAsia="仿宋_GB2312"/>
                <w:sz w:val="18"/>
              </w:rPr>
              <w:t>本服务项目为外包服务，成交供应商作为承包主体单位以及法定用人单位应承担服务人员的工伤风险责任，服务外包公司为服务人员依法缴纳社会保险(养老、医疗(生育)、工伤、失业、大病补充),同时要为服务人员购买每月不低于30万元保额的《雇主责任险》作为社会保险以外的补充保险。成交供应商应承担以下用人单位的责任和义务。</w:t>
            </w:r>
          </w:p>
          <w:p>
            <w:pPr>
              <w:pStyle w:val="null3"/>
              <w:ind w:firstLine="480"/>
              <w:jc w:val="both"/>
            </w:pPr>
            <w:r>
              <w:rPr>
                <w:rFonts w:ascii="仿宋_GB2312" w:hAnsi="仿宋_GB2312" w:cs="仿宋_GB2312" w:eastAsia="仿宋_GB2312"/>
                <w:sz w:val="18"/>
              </w:rPr>
              <w:t>(一)成交供应商与服务人员之间为劳动关系。成交供应商向采购人提供服务，成交供应商服务人员与采购人不具有任何劳动法律关系。</w:t>
            </w:r>
          </w:p>
          <w:p>
            <w:pPr>
              <w:pStyle w:val="null3"/>
              <w:ind w:firstLine="480"/>
              <w:jc w:val="both"/>
            </w:pPr>
            <w:r>
              <w:rPr>
                <w:rFonts w:ascii="仿宋_GB2312" w:hAnsi="仿宋_GB2312" w:cs="仿宋_GB2312" w:eastAsia="仿宋_GB2312"/>
                <w:sz w:val="18"/>
              </w:rPr>
              <w:t>(二)本次采购预算为2026年全年(12个月)服务工作采购预算，本次成交供应商负责与采购人现有服务单位进行2026年服务期间服务费结算。</w:t>
            </w:r>
          </w:p>
          <w:p>
            <w:pPr>
              <w:pStyle w:val="null3"/>
              <w:ind w:firstLine="480"/>
              <w:jc w:val="both"/>
            </w:pPr>
            <w:r>
              <w:rPr>
                <w:rFonts w:ascii="仿宋_GB2312" w:hAnsi="仿宋_GB2312" w:cs="仿宋_GB2312" w:eastAsia="仿宋_GB2312"/>
                <w:sz w:val="18"/>
              </w:rPr>
              <w:t>(三)成交供应商应为服务人员办理合法的劳动用工手续，与其建立劳动关系并签订劳动合同，同时承诺遵守《中华人民共和国劳动合同法》相关规定，及时为服务人员发放薪酬、办理社会保险。</w:t>
            </w:r>
          </w:p>
          <w:p>
            <w:pPr>
              <w:pStyle w:val="null3"/>
              <w:ind w:firstLine="480"/>
              <w:jc w:val="both"/>
            </w:pPr>
            <w:r>
              <w:rPr>
                <w:rFonts w:ascii="仿宋_GB2312" w:hAnsi="仿宋_GB2312" w:cs="仿宋_GB2312" w:eastAsia="仿宋_GB2312"/>
                <w:sz w:val="18"/>
              </w:rPr>
              <w:t>(四)成交供应商应当根据与采购人的约定在服务项目开始前选聘适当的服务人员承担服务工作，根据采购人要求及时提供或补充各类符合条件的服务人员，保证服务事项如期开展。</w:t>
            </w:r>
          </w:p>
          <w:p>
            <w:pPr>
              <w:pStyle w:val="null3"/>
              <w:ind w:firstLine="480"/>
              <w:jc w:val="both"/>
            </w:pPr>
            <w:r>
              <w:rPr>
                <w:rFonts w:ascii="仿宋_GB2312" w:hAnsi="仿宋_GB2312" w:cs="仿宋_GB2312" w:eastAsia="仿宋_GB2312"/>
                <w:sz w:val="18"/>
              </w:rPr>
              <w:t>(五)成交供应商应当按照采购人要求提供服务，并按照双方约定的时间周期定期向采购人汇报服务工作情况，经常听取采购人的意见和建议，按采购人的要求提供及时的服务。</w:t>
            </w:r>
          </w:p>
          <w:p>
            <w:pPr>
              <w:pStyle w:val="null3"/>
              <w:ind w:firstLine="480"/>
              <w:jc w:val="both"/>
            </w:pPr>
            <w:r>
              <w:rPr>
                <w:rFonts w:ascii="仿宋_GB2312" w:hAnsi="仿宋_GB2312" w:cs="仿宋_GB2312" w:eastAsia="仿宋_GB2312"/>
                <w:sz w:val="18"/>
              </w:rPr>
              <w:t>(六)成交供应商应当按照采购人对成交供应商服务人员完成服务事项的考察情况及意见，及时做出工作调整，以保证服务事项的执行不受影响。</w:t>
            </w:r>
          </w:p>
          <w:p>
            <w:pPr>
              <w:pStyle w:val="null3"/>
              <w:ind w:firstLine="480"/>
              <w:jc w:val="both"/>
            </w:pPr>
            <w:r>
              <w:rPr>
                <w:rFonts w:ascii="仿宋_GB2312" w:hAnsi="仿宋_GB2312" w:cs="仿宋_GB2312" w:eastAsia="仿宋_GB2312"/>
                <w:sz w:val="18"/>
              </w:rPr>
              <w:t>(七)成交供应商应对成交供应商服务人员思想道德品质和法律常识教育、要求文明工作和遵纪守法，遵守采购人的业务流程、操作规范、监督机制、保密机制和风险控制机制；做好服务人员的职前教育培训工作并记录备案，同时协助采购人做好服务人员在职继续教育和技能培训工作。</w:t>
            </w:r>
          </w:p>
          <w:p>
            <w:pPr>
              <w:pStyle w:val="null3"/>
              <w:ind w:firstLine="480"/>
              <w:jc w:val="both"/>
            </w:pPr>
            <w:r>
              <w:rPr>
                <w:rFonts w:ascii="仿宋_GB2312" w:hAnsi="仿宋_GB2312" w:cs="仿宋_GB2312" w:eastAsia="仿宋_GB2312"/>
                <w:sz w:val="18"/>
              </w:rPr>
              <w:t>(八)成交供应商选派人员，负责对服务人员的日常管理工作。</w:t>
            </w:r>
          </w:p>
          <w:p>
            <w:pPr>
              <w:pStyle w:val="null3"/>
              <w:ind w:firstLine="480"/>
              <w:jc w:val="both"/>
            </w:pPr>
            <w:r>
              <w:rPr>
                <w:rFonts w:ascii="仿宋_GB2312" w:hAnsi="仿宋_GB2312" w:cs="仿宋_GB2312" w:eastAsia="仿宋_GB2312"/>
                <w:sz w:val="18"/>
              </w:rPr>
              <w:t>(九)成交供应商对所提供的服务事项行使管理权，但该管理权的行使不得违背采购人利益，且不得违反采购人对完成本项目服务事务的要求。</w:t>
            </w:r>
          </w:p>
          <w:p>
            <w:pPr>
              <w:pStyle w:val="null3"/>
              <w:ind w:firstLine="480"/>
              <w:jc w:val="both"/>
            </w:pPr>
            <w:r>
              <w:rPr>
                <w:rFonts w:ascii="仿宋_GB2312" w:hAnsi="仿宋_GB2312" w:cs="仿宋_GB2312" w:eastAsia="仿宋_GB2312"/>
                <w:sz w:val="18"/>
              </w:rPr>
              <w:t>(十)成交供应商应保证具有履行本合同的资格及专业能力。</w:t>
            </w:r>
          </w:p>
          <w:p>
            <w:pPr>
              <w:pStyle w:val="null3"/>
              <w:ind w:firstLine="480"/>
              <w:jc w:val="both"/>
            </w:pPr>
            <w:r>
              <w:rPr>
                <w:rFonts w:ascii="仿宋_GB2312" w:hAnsi="仿宋_GB2312" w:cs="仿宋_GB2312" w:eastAsia="仿宋_GB2312"/>
                <w:sz w:val="18"/>
              </w:rPr>
              <w:t>(十一)成交供应商服务人员在工作期间发生工伤，成交供应商应承担工伤认定申请和劳动能力鉴定申请，以及协调工作。工伤认定申请和劳动能力鉴定申请结束后，由成交供应商承担并按照《工伤保险条例》的有关规定办理相关赔付手续。</w:t>
            </w:r>
          </w:p>
          <w:p>
            <w:pPr>
              <w:pStyle w:val="null3"/>
              <w:ind w:firstLine="480"/>
              <w:jc w:val="both"/>
            </w:pPr>
            <w:r>
              <w:rPr>
                <w:rFonts w:ascii="仿宋_GB2312" w:hAnsi="仿宋_GB2312" w:cs="仿宋_GB2312" w:eastAsia="仿宋_GB2312"/>
                <w:sz w:val="18"/>
              </w:rPr>
              <w:t>(十二)成交供应商服务人员在采购人工作期间，凡发生擅自离职、违反《劳动合同》及其它侵犯采购人及成交供应商双方利益的，由成交供应商负责处理，采购人提供相关书面材料并予以积极配合。</w:t>
            </w:r>
          </w:p>
          <w:p>
            <w:pPr>
              <w:pStyle w:val="null3"/>
              <w:ind w:firstLine="480"/>
              <w:jc w:val="both"/>
            </w:pPr>
            <w:r>
              <w:rPr>
                <w:rFonts w:ascii="仿宋_GB2312" w:hAnsi="仿宋_GB2312" w:cs="仿宋_GB2312" w:eastAsia="仿宋_GB2312"/>
                <w:sz w:val="18"/>
              </w:rPr>
              <w:t>(十三)成交供应商应经常听取采购人的意见和建议，按采购人要求提供及时的服务。</w:t>
            </w:r>
          </w:p>
          <w:p>
            <w:pPr>
              <w:pStyle w:val="null3"/>
              <w:ind w:firstLine="480"/>
              <w:jc w:val="both"/>
            </w:pPr>
            <w:r>
              <w:rPr>
                <w:rFonts w:ascii="仿宋_GB2312" w:hAnsi="仿宋_GB2312" w:cs="仿宋_GB2312" w:eastAsia="仿宋_GB2312"/>
                <w:sz w:val="18"/>
              </w:rPr>
              <w:t>(十四)成交供应商应安排现场管理人员与采购人进行业务对接，对服务人员进行日常管理，以便更好的为采购人提供服务。</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根据本次服务项目采购工作需求，拟定人员配备服务总人数不少于31名，其中：驾驶员不少于23名，后勤服务人员不少于8名。 1.大车司机不少于5名，须持A2驾驶证及以上； 2.小车司机不少于18名，须持C1驾驶证及以上； 3.后勤人员不少于5名(其中打字员不少于4名，资料员不少于1名); 4.会计不少于1名(中级); 5.会计不少于1名(初级); 6.卫生室及部分财务不少于1名。</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首次服务期限为1年，首次服务期届满前，经甲方考核合格，双方可协商续签合同，续签服务期限不超过2年。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符合国家标准、行业标准，具体以合同约定为准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合同签订之日起</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验收合格之日起</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1.按《中华人民共和国政府采购法》、《中华人民共和国民法典》中的相关条款执行。 2.未按合同或招标文件要求提供服务的质量不能满足采购人技术要求，采购单位有权终止合同，甚至对投标人违约行为进行追究。 3.投标人的投标文件为签订正式书面合同书不可分割的部分，供货方应履行相应的责任。</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1、提供有效合格的统一社会信用代码的营业执照，其他组织经营的须提供合法凭证，自然人的提供身份证明文件； 2、税收缴纳证明：投标人提供2025年1月1日至今任一个月的缴费凭据；依法免税的应提供相关文件证明； 3、社会保障资金缴纳证明：投标人提供2025年1月1日至今任一个月的缴费凭据或社保机构开具的社会保险参保缴费情况证明；依法不需要缴纳社会保障资金的应提供相关文件证明； 4、供应商提供具有履行本合同所必需的设备和专业技术能力的承诺函； 5、供应商提供参加采购活动前三年内在经营活动中没有重大违法记录的承诺函；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商务要求.docx 技术要求.docx 开标一览表 投标人业绩情况.docx 分项报价表.docx 投标函 陕西省政府采购投标人拒绝政府采购领域商业贿赂承诺书.docx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财务状况报告：提供2023年度或2024年度的财务审计报告（成立时间至提交投标文件截止时间不足一年的，可提供成立后任意时段的资产负债表），或其基本存款账户开户银行出具的资信证明；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商务要求.docx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商务要求.docx 投标函 投标文件封面</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法定代表人授权委托书、被授权人身份证（法定代表人参加投标时,只需提供法定代表人身份证）；</w:t>
            </w:r>
          </w:p>
        </w:tc>
        <w:tc>
          <w:tcPr>
            <w:tcW w:type="dxa" w:w="1661"/>
          </w:tcPr>
          <w:p>
            <w:pPr>
              <w:pStyle w:val="null3"/>
            </w:pPr>
            <w:r>
              <w:rPr>
                <w:rFonts w:ascii="仿宋_GB2312" w:hAnsi="仿宋_GB2312" w:cs="仿宋_GB2312" w:eastAsia="仿宋_GB2312"/>
              </w:rPr>
              <w:t>商务要求.docx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不得为中国政府采购网（www.ccgp.gov.cn）政府采购严重违法失信行为记录名单中被财政部门禁止参加政府采购活动的供应商。（提供查询结果网页截图并加盖投标人公章）；</w:t>
            </w:r>
          </w:p>
        </w:tc>
        <w:tc>
          <w:tcPr>
            <w:tcW w:type="dxa" w:w="1661"/>
          </w:tcPr>
          <w:p>
            <w:pPr>
              <w:pStyle w:val="null3"/>
            </w:pPr>
            <w:r>
              <w:rPr>
                <w:rFonts w:ascii="仿宋_GB2312" w:hAnsi="仿宋_GB2312" w:cs="仿宋_GB2312" w:eastAsia="仿宋_GB2312"/>
              </w:rPr>
              <w:t>商务要求.docx 投标文件封面</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w:t>
            </w:r>
          </w:p>
        </w:tc>
        <w:tc>
          <w:tcPr>
            <w:tcW w:type="dxa" w:w="3322"/>
          </w:tcPr>
          <w:p>
            <w:pPr>
              <w:pStyle w:val="null3"/>
            </w:pPr>
            <w:r>
              <w:rPr>
                <w:rFonts w:ascii="仿宋_GB2312" w:hAnsi="仿宋_GB2312" w:cs="仿宋_GB2312" w:eastAsia="仿宋_GB2312"/>
              </w:rPr>
              <w:t>2.1《政府采购促进中小企业发展管理办法》（财库〔2020〕46号）； 2.2《财政部 司法部关于政府采购支持监狱企业发展有关问题的通知》（财库〔2014〕68号）； 2.3《国务院办公厅关于建立政府强制采购节能产品制度的通知》（国办发〔2007〕51号）； 2.4《财政部 环保总局关于环境标志产品政府采购实施的意见》（财库〔2006〕90号）； 2.5《财政部 国家发展改革委关于印发〈节能产品政府采购实施意见〉的通知》（财库〔2004〕185号）； 2.6《财政部 民政部 中国残疾人联合会关于促进残疾人就业政府采购政策的通知》（财库〔2017〕141号）； 2.7《财政部 发展改革委 生态环境部 市场监管总局关于调整优化节能产品、环境标志产品政府采购执行机制的通知》（财库〔2019〕9号）； 2.8《关于印发环境标志产品政府采购品目清单的通知》（财库〔2019〕18号）； 2.9《关于印发节能产品政府采购品目清单的通知》（财库〔2019〕19号） 2.10《财政部 农业农村部 国家乡村振兴局关于运用政府采购政策支持乡村产业振兴的通知》财库〔2021〕19号； 2.11《陕西省财政厅关于印发陕西省中小企业政府采购信用融资办法》（陕财办采〔2018〕23号）； 2.12《陕西省财政厅关于加快推进我省中小企业政府采购信用融资工作的通知》（陕财办采〔2020〕15号）。</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投标文件的完整性。</w:t>
            </w:r>
          </w:p>
        </w:tc>
        <w:tc>
          <w:tcPr>
            <w:tcW w:type="dxa" w:w="3322"/>
          </w:tcPr>
          <w:p>
            <w:pPr>
              <w:pStyle w:val="null3"/>
            </w:pPr>
            <w:r>
              <w:rPr>
                <w:rFonts w:ascii="仿宋_GB2312" w:hAnsi="仿宋_GB2312" w:cs="仿宋_GB2312" w:eastAsia="仿宋_GB2312"/>
              </w:rPr>
              <w:t>投标文件构成是否有重大缺项，是否按照招标文件要求的格式编写投标文件。</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投标文件的有效性。</w:t>
            </w:r>
          </w:p>
        </w:tc>
        <w:tc>
          <w:tcPr>
            <w:tcW w:type="dxa" w:w="3322"/>
          </w:tcPr>
          <w:p>
            <w:pPr>
              <w:pStyle w:val="null3"/>
            </w:pPr>
            <w:r>
              <w:rPr>
                <w:rFonts w:ascii="仿宋_GB2312" w:hAnsi="仿宋_GB2312" w:cs="仿宋_GB2312" w:eastAsia="仿宋_GB2312"/>
              </w:rPr>
              <w:t>投标文件的签署、加盖印章是否合格、有效；提供的各种证明文件、数据、资料是否真实、有效。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投标文件的响应性。</w:t>
            </w:r>
          </w:p>
        </w:tc>
        <w:tc>
          <w:tcPr>
            <w:tcW w:type="dxa" w:w="3322"/>
          </w:tcPr>
          <w:p>
            <w:pPr>
              <w:pStyle w:val="null3"/>
            </w:pPr>
            <w:r>
              <w:rPr>
                <w:rFonts w:ascii="仿宋_GB2312" w:hAnsi="仿宋_GB2312" w:cs="仿宋_GB2312" w:eastAsia="仿宋_GB2312"/>
              </w:rPr>
              <w:t>投标有效期是否符合招标文件要求；投标商务条款是否有重大偏离；技术指标是否出现虚假响应；对合同中规定的双方的权利和义务是否做出了实质性修改。</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为专门面向中小企业项目，供应商应为中型企业、小型企业、微型企业或监狱企业或残疾人福利性单位。供应商应为中型企业、小型企业、微型企业的，提供《中小企业声明函》；本项目采购标的对应的中小企业划分标准所属行业为：租赁和商务服务业；供应商为监狱企业的，应提供监狱企业的证明文件；供应商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投标函 残疾人福利性单位声明函 中小企业声明函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投标报价是否超过项目采购预算及采购预算。</w:t>
            </w:r>
          </w:p>
        </w:tc>
        <w:tc>
          <w:tcPr>
            <w:tcW w:type="dxa" w:w="3322"/>
          </w:tcPr>
          <w:p>
            <w:pPr>
              <w:pStyle w:val="null3"/>
            </w:pPr>
            <w:r>
              <w:rPr>
                <w:rFonts w:ascii="仿宋_GB2312" w:hAnsi="仿宋_GB2312" w:cs="仿宋_GB2312" w:eastAsia="仿宋_GB2312"/>
              </w:rPr>
              <w:t>投标报价是否超过项目采购预算及采购预算。</w:t>
            </w:r>
          </w:p>
        </w:tc>
        <w:tc>
          <w:tcPr>
            <w:tcW w:type="dxa" w:w="1661"/>
          </w:tcPr>
          <w:p>
            <w:pPr>
              <w:pStyle w:val="null3"/>
            </w:pPr>
            <w:r>
              <w:rPr>
                <w:rFonts w:ascii="仿宋_GB2312" w:hAnsi="仿宋_GB2312" w:cs="仿宋_GB2312" w:eastAsia="仿宋_GB2312"/>
              </w:rPr>
              <w:t>投标函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评审内容：包括但不限于①服务目标；②服务计划；③服务理念及特色；④重难点分析及解决措施。 评审标准：服务方案有针对性、可操作性强，内容全面详细、阐述条理清晰详尽、符合本项目采购需求得20分，每缺一项内容扣5分，评审内容有瑕疵的，出现瑕疵的评审项扣1分，评审项内容有严重瑕疵，出现严重瑕疵的评审项扣4分。 备注：评审内容“瑕疵”是指：内容粗略、逻辑混乱、描述过于简单、与项目特点不匹配、逻辑漏洞、出现常识性错误、存在不适用项目实际情况的情形或只有标题没有实质性内容等。 未响应不得分。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技术要求.docx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评审内容：包括但不限于①突发事件处理预案；②风控措施；③消防治安、④意外事故处理等应急预案； 评审标准：应急预案方案各部分内容全面详细、阐述条理清晰详尽、符合本项目采购需求得12分，每缺一项内容扣3分，评审内容有瑕疵的，出现瑕疵的评审项扣1分，评审项内容有严重瑕疵，出现严重瑕疵的评审项扣2分。备注：评审内容“瑕疵”是指：内容粗略、逻辑混乱、描述过于简单、与项目特点不匹配、逻辑漏洞、出现常识性错误、存在不适用项目实际情况的情形或只有标题没有实质性内容等。未响应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技术要求.docx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评审内容：内容至少包括①人员组织安排；②岗位职责与分工； ③人员管理制度等方面； 评审标准：人员配备方案各部分内容全面详细、阐述条理清晰详尽、符合本项目采购需求得12分，每缺一项内容扣4分，评审内容有瑕疵的，出现瑕疵的评审项扣1分，评审项内容有严重瑕疵，出现严重瑕疵的评审项扣3分。 备注：评审内容“瑕疵”是指：内容粗略、逻辑混乱、描述过于简单、与项目特点不匹配、逻辑漏洞、出现常识性错误、存在不适用项目实际情况的情形或只有标题没有实质性内容等。 未响应不得分。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技术要求.docx</w:t>
            </w:r>
          </w:p>
        </w:tc>
      </w:tr>
      <w:tr>
        <w:tc>
          <w:tcPr>
            <w:tcW w:type="dxa" w:w="831"/>
            <w:vMerge/>
          </w:tcPr>
          <w:p/>
        </w:tc>
        <w:tc>
          <w:tcPr>
            <w:tcW w:type="dxa" w:w="1661"/>
          </w:tcPr>
          <w:p>
            <w:pPr>
              <w:pStyle w:val="null3"/>
            </w:pPr>
            <w:r>
              <w:rPr>
                <w:rFonts w:ascii="仿宋_GB2312" w:hAnsi="仿宋_GB2312" w:cs="仿宋_GB2312" w:eastAsia="仿宋_GB2312"/>
              </w:rPr>
              <w:t>管理制度及质量控制标准情况</w:t>
            </w:r>
          </w:p>
        </w:tc>
        <w:tc>
          <w:tcPr>
            <w:tcW w:type="dxa" w:w="2492"/>
          </w:tcPr>
          <w:p>
            <w:pPr>
              <w:pStyle w:val="null3"/>
            </w:pPr>
            <w:r>
              <w:rPr>
                <w:rFonts w:ascii="仿宋_GB2312" w:hAnsi="仿宋_GB2312" w:cs="仿宋_GB2312" w:eastAsia="仿宋_GB2312"/>
              </w:rPr>
              <w:t>评审内容：包括但不限于①内部管理制度；②质量控制标准情况。 评审标准：制度各部分内容全面详细、阐述条理清晰详尽、符合本项目采购需求得8分，每缺一项内容扣4分，评审内容有瑕疵的，出现瑕疵的评审项扣1分，评审项内容有严重瑕疵，出现严重瑕疵的评审项扣3分。 备注：评审内容“瑕疵”是指：内容粗略、逻辑混乱、描述过于简单、与项目特点不匹配、逻辑漏洞、出现常识性错误、存在不适用项目实际情况的情形或只有标题没有实质性内容等。 未响应不得分。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技术要求.docx</w:t>
            </w:r>
          </w:p>
        </w:tc>
      </w:tr>
      <w:tr>
        <w:tc>
          <w:tcPr>
            <w:tcW w:type="dxa" w:w="831"/>
            <w:vMerge/>
          </w:tcPr>
          <w:p/>
        </w:tc>
        <w:tc>
          <w:tcPr>
            <w:tcW w:type="dxa" w:w="1661"/>
          </w:tcPr>
          <w:p>
            <w:pPr>
              <w:pStyle w:val="null3"/>
            </w:pPr>
            <w:r>
              <w:rPr>
                <w:rFonts w:ascii="仿宋_GB2312" w:hAnsi="仿宋_GB2312" w:cs="仿宋_GB2312" w:eastAsia="仿宋_GB2312"/>
              </w:rPr>
              <w:t>保密管理</w:t>
            </w:r>
          </w:p>
        </w:tc>
        <w:tc>
          <w:tcPr>
            <w:tcW w:type="dxa" w:w="2492"/>
          </w:tcPr>
          <w:p>
            <w:pPr>
              <w:pStyle w:val="null3"/>
            </w:pPr>
            <w:r>
              <w:rPr>
                <w:rFonts w:ascii="仿宋_GB2312" w:hAnsi="仿宋_GB2312" w:cs="仿宋_GB2312" w:eastAsia="仿宋_GB2312"/>
              </w:rPr>
              <w:t>评审内容：包括但不限于①保密措施；②保密方案。 评审标准：保密措施和方案各部分内容全面详细、阐述条理清晰详尽、符合本项目采购需求得8分，每缺一项内容扣4分，评审内容有瑕疵的，出现瑕疵的评审项扣1分，评审项内容有严重瑕疵，出现严重瑕疵的评审项扣3分。 备注：评审内容“瑕疵”是指：内容粗略、逻辑混乱、描述过于简单、与项目特点不匹配、逻辑漏洞、出现常识性错误、存在不适用项目实际情况的情形或只有标题没有实质性内容等。 未响应不得分。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技术要求.docx</w:t>
            </w:r>
          </w:p>
        </w:tc>
      </w:tr>
      <w:tr>
        <w:tc>
          <w:tcPr>
            <w:tcW w:type="dxa" w:w="831"/>
            <w:vMerge/>
          </w:tcPr>
          <w:p/>
        </w:tc>
        <w:tc>
          <w:tcPr>
            <w:tcW w:type="dxa" w:w="1661"/>
          </w:tcPr>
          <w:p>
            <w:pPr>
              <w:pStyle w:val="null3"/>
            </w:pPr>
            <w:r>
              <w:rPr>
                <w:rFonts w:ascii="仿宋_GB2312" w:hAnsi="仿宋_GB2312" w:cs="仿宋_GB2312" w:eastAsia="仿宋_GB2312"/>
              </w:rPr>
              <w:t>服务保证承诺</w:t>
            </w:r>
          </w:p>
        </w:tc>
        <w:tc>
          <w:tcPr>
            <w:tcW w:type="dxa" w:w="2492"/>
          </w:tcPr>
          <w:p>
            <w:pPr>
              <w:pStyle w:val="null3"/>
            </w:pPr>
            <w:r>
              <w:rPr>
                <w:rFonts w:ascii="仿宋_GB2312" w:hAnsi="仿宋_GB2312" w:cs="仿宋_GB2312" w:eastAsia="仿宋_GB2312"/>
              </w:rPr>
              <w:t>评审内容：包括但不限于①服务质量承诺；②后期人员到位情况；③后期服务等方面； 评审标准：服务承诺各部分内容全面详细、阐述条理清晰详尽、符合本项目采购需求得12分，每缺一项内容扣4分，评审内容有瑕疵的，出现瑕疵的评审项扣1分，评审项内容有严重瑕疵，出现严重瑕疵的评审项扣3分。 备注：评审内容“瑕疵”是指：内容粗略、逻辑混乱、描述过于简单、与项目特点不匹配、逻辑漏洞、出现常识性错误、存在不适用项目实际情况的情形或只有标题没有实质性内容等。 未响应不得分。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技术要求.docx</w:t>
            </w:r>
          </w:p>
        </w:tc>
      </w:tr>
      <w:tr>
        <w:tc>
          <w:tcPr>
            <w:tcW w:type="dxa" w:w="831"/>
            <w:vMerge/>
          </w:tcPr>
          <w:p/>
        </w:tc>
        <w:tc>
          <w:tcPr>
            <w:tcW w:type="dxa" w:w="1661"/>
          </w:tcPr>
          <w:p>
            <w:pPr>
              <w:pStyle w:val="null3"/>
            </w:pPr>
            <w:r>
              <w:rPr>
                <w:rFonts w:ascii="仿宋_GB2312" w:hAnsi="仿宋_GB2312" w:cs="仿宋_GB2312" w:eastAsia="仿宋_GB2312"/>
              </w:rPr>
              <w:t>考核、培训措施</w:t>
            </w:r>
          </w:p>
        </w:tc>
        <w:tc>
          <w:tcPr>
            <w:tcW w:type="dxa" w:w="2492"/>
          </w:tcPr>
          <w:p>
            <w:pPr>
              <w:pStyle w:val="null3"/>
            </w:pPr>
            <w:r>
              <w:rPr>
                <w:rFonts w:ascii="仿宋_GB2312" w:hAnsi="仿宋_GB2312" w:cs="仿宋_GB2312" w:eastAsia="仿宋_GB2312"/>
              </w:rPr>
              <w:t>评审内容：培训方案包括但不限于①工作人员上岗前的安全、制度、操作等内容；②考核措施，③安全、制度、操作等内容； 评审标准：考核、培训措施各部分内容全面详细、阐述条理清晰详尽、符合本项目采购需求得12分，每缺一项内容扣4分，评审内容有瑕疵的，出现瑕疵的评审项扣1分，评审项内容有严重瑕疵，出现严重瑕疵的评审项扣3分。 备注：评审内容“瑕疵”是指：内容粗略、逻辑混乱、描述过于简单、与项目特点不匹配、逻辑漏洞、出现常识性错误、存在不适用项目实际情况的情形或只有标题没有实质性内容等。 未响应不得分。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技术要求.docx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提供2023年1月1日至今类似项目业绩合同（以签订时间为准），一个业绩得2分，最高得6分；评审依据：提供完整合同复印件并加盖公章。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投标人业绩情况.docx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1.经初审合格的投标文件，其投标报价为有效投标报价，并对有效投标报价进行政策性扣减，并依据扣减后的价格（评审价格）进行价格评审。 2.满足招标文件实质性要求且最终报价最低的投标人的价格为投标基准价，其价格分为满分10分。 3.投标报价得分=（投标基准价/投标报价）×价格权值（即10%）×100 4.投标报价不完整的，不进入评标标准价的计算，本项得0分。 5.经评委一致认定，投标人的投标最终总报价低于公认市场成本，或超过采购预算,其投标将被拒绝。</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详见附件：商务要求.docx</w:t>
      </w:r>
    </w:p>
    <w:p>
      <w:pPr>
        <w:pStyle w:val="null3"/>
        <w:ind w:firstLine="960"/>
      </w:pPr>
      <w:r>
        <w:rPr>
          <w:rFonts w:ascii="仿宋_GB2312" w:hAnsi="仿宋_GB2312" w:cs="仿宋_GB2312" w:eastAsia="仿宋_GB2312"/>
        </w:rPr>
        <w:t>详见附件：技术要求.docx</w:t>
      </w:r>
    </w:p>
    <w:p>
      <w:pPr>
        <w:pStyle w:val="null3"/>
        <w:ind w:firstLine="960"/>
      </w:pPr>
      <w:r>
        <w:rPr>
          <w:rFonts w:ascii="仿宋_GB2312" w:hAnsi="仿宋_GB2312" w:cs="仿宋_GB2312" w:eastAsia="仿宋_GB2312"/>
        </w:rPr>
        <w:t>详见附件：投标人业绩情况.docx</w:t>
      </w:r>
    </w:p>
    <w:p>
      <w:pPr>
        <w:pStyle w:val="null3"/>
        <w:ind w:firstLine="960"/>
      </w:pPr>
      <w:r>
        <w:rPr>
          <w:rFonts w:ascii="仿宋_GB2312" w:hAnsi="仿宋_GB2312" w:cs="仿宋_GB2312" w:eastAsia="仿宋_GB2312"/>
        </w:rPr>
        <w:t>详见附件：陕西省政府采购投标人拒绝政府采购领域商业贿赂承诺书.docx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