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版本号：LZBE2026-155.1B120260325001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隧道爆破作业实训设备(二次)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LZBE2026-155.1B1</w:t>
      </w:r>
      <w:r>
        <w:br/>
      </w:r>
      <w:r>
        <w:br/>
      </w:r>
      <w:r>
        <w:br/>
      </w:r>
    </w:p>
    <w:p>
      <w:pPr>
        <w:pStyle w:val="null3"/>
        <w:jc w:val="center"/>
        <w:outlineLvl w:val="2"/>
      </w:pPr>
      <w:r>
        <w:rPr>
          <w:rFonts w:ascii="仿宋_GB2312" w:hAnsi="仿宋_GB2312" w:cs="仿宋_GB2312" w:eastAsia="仿宋_GB2312"/>
          <w:sz w:val="28"/>
          <w:b/>
        </w:rPr>
        <w:t>陕西铁路工程职业技术学院</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陕西铁路工程职业技术学院</w:t>
      </w:r>
      <w:r>
        <w:rPr>
          <w:rFonts w:ascii="仿宋_GB2312" w:hAnsi="仿宋_GB2312" w:cs="仿宋_GB2312" w:eastAsia="仿宋_GB2312"/>
        </w:rPr>
        <w:t>委托，拟对</w:t>
      </w:r>
      <w:r>
        <w:rPr>
          <w:rFonts w:ascii="仿宋_GB2312" w:hAnsi="仿宋_GB2312" w:cs="仿宋_GB2312" w:eastAsia="仿宋_GB2312"/>
        </w:rPr>
        <w:t>隧道爆破作业实训设备(二次)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LZBE2026-155.1B1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隧道爆破作业实训设备(二次)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陕西铁路工程职业技术学院隧道爆破作业实训设备项目，简要技术要求、用途：详见采招标文件。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4、社会保障资金缴纳证明：提供上一年度至今已缴存的至少一个月的社会保障资金缴存单据或社保机构开具的社会保险参保缴费情况证明，依法不需要缴纳社会保障资金的单位应提供相关证明材料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陕西铁路工程职业技术学院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陕西省渭南市站北街东段一号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0913-2221395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吴岳、陈钊、冀文博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开户名称：龙寰项目管理咨询有限公司</w:t>
            </w:r>
          </w:p>
          <w:p>
            <w:pPr>
              <w:pStyle w:val="null3"/>
            </w:pPr>
            <w:r>
              <w:rPr>
                <w:rFonts w:ascii="仿宋_GB2312" w:hAnsi="仿宋_GB2312" w:cs="仿宋_GB2312" w:eastAsia="仿宋_GB2312"/>
              </w:rPr>
              <w:t>开户银行：平安银行西安高新路支行</w:t>
            </w:r>
          </w:p>
          <w:p>
            <w:pPr>
              <w:pStyle w:val="null3"/>
            </w:pPr>
            <w:r>
              <w:rPr>
                <w:rFonts w:ascii="仿宋_GB2312" w:hAnsi="仿宋_GB2312" w:cs="仿宋_GB2312" w:eastAsia="仿宋_GB2312"/>
              </w:rPr>
              <w:t>银行账号：30201278018280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代理服务费收费标准：1、中标金额为 400,000 元（不含）以上：依据《国家计委关于印发〈招标代理服务收费管理暂行办法〉的通知》（计价格[2002]1980 号）及发改办价格（[2003]857 号文件）下浮 20%收取（收费标准的 80%）， 由中标单位向受托方支付。2、中标金额为 400,000 元（含）以下：服务费采取定额收取， 每个项目收费为 3000 元/项，由中标单位向受托方支付。3、本项目中标服务费按货物计取。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陕西铁路工程职业技术学院</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陕西铁路工程职业技术学院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陕西铁路工程职业技术学院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联系人：吴岳</w:t>
      </w:r>
    </w:p>
    <w:p>
      <w:pPr>
        <w:pStyle w:val="null3"/>
      </w:pPr>
      <w:r>
        <w:rPr>
          <w:rFonts w:ascii="仿宋_GB2312" w:hAnsi="仿宋_GB2312" w:cs="仿宋_GB2312" w:eastAsia="仿宋_GB2312"/>
        </w:rPr>
        <w:t>联系电话：029-88228899-652</w:t>
      </w:r>
    </w:p>
    <w:p>
      <w:pPr>
        <w:pStyle w:val="null3"/>
      </w:pPr>
      <w:r>
        <w:rPr>
          <w:rFonts w:ascii="仿宋_GB2312" w:hAnsi="仿宋_GB2312" w:cs="仿宋_GB2312" w:eastAsia="仿宋_GB2312"/>
        </w:rPr>
        <w:t>地址：陕西省西安市高新区太白南路181号A座</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铁路工程职业技术学院隧道爆破作业实训设备项目，拟采购一套隧道爆破作业实训设备，用于开展矿山法（钻爆法）隧道施工的爆破开挖与支护作业教学，能够对接隧道爆破开挖、支护作业等岗位。通过模拟真实隧道施工环境，帮助学生掌握钻孔、锚杆安装、预应力张拉、注浆加固等关键技术，培养其具备隧道钻爆法施工及支护作业的实操能力。设备参数需满足国内山岭隧道钻爆法施工的技术规范，满足国内隧道施工项目的参数要求，能够用于山岭隧道钻爆法钻孔支护作业技术服务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2,640,000.00</w:t>
      </w:r>
    </w:p>
    <w:p>
      <w:pPr>
        <w:pStyle w:val="null3"/>
      </w:pPr>
      <w:r>
        <w:rPr>
          <w:rFonts w:ascii="仿宋_GB2312" w:hAnsi="仿宋_GB2312" w:cs="仿宋_GB2312" w:eastAsia="仿宋_GB2312"/>
        </w:rPr>
        <w:t>采购包最高限价（元）: 2,640,000.00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隧道爆破作业实训设备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2,640,000.00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标的名称：隧道爆破作业实训设备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设备名称</w:t>
                  </w:r>
                </w:p>
              </w:tc>
              <w:tc>
                <w:tcPr>
                  <w:tcW w:type="dxa" w:w="12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技术参数与性能指标</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隧道爆破作业实训设备</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88"/>
                    <w:gridCol w:w="469"/>
                    <w:gridCol w:w="503"/>
                  </w:tblGrid>
                  <w:tr>
                    <w:tc>
                      <w:tcPr>
                        <w:tcW w:type="dxa" w:w="8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1.基本参数</w:t>
                        </w:r>
                      </w:p>
                    </w:tc>
                    <w:tc>
                      <w:tcPr>
                        <w:tcW w:type="dxa" w:w="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技术参数</w:t>
                        </w:r>
                      </w:p>
                    </w:tc>
                    <w:tc>
                      <w:tcPr>
                        <w:tcW w:type="dxa" w:w="5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技术参数要求</w:t>
                        </w:r>
                      </w:p>
                    </w:tc>
                  </w:tr>
                  <w:tr>
                    <w:tc>
                      <w:tcPr>
                        <w:tcW w:type="dxa" w:w="88"/>
                        <w:vMerge/>
                        <w:tcBorders>
                          <w:top w:val="single" w:color="000000" w:sz="4"/>
                          <w:left w:val="single" w:color="000000" w:sz="4"/>
                          <w:bottom w:val="single" w:color="000000" w:sz="4"/>
                          <w:right w:val="single" w:color="000000" w:sz="4"/>
                        </w:tcBorders>
                      </w:tcP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22"/>
                          </w:rPr>
                          <w:t>外形尺寸（长</w:t>
                        </w:r>
                        <w:r>
                          <w:rPr>
                            <w:rFonts w:ascii="仿宋_GB2312" w:hAnsi="仿宋_GB2312" w:cs="仿宋_GB2312" w:eastAsia="仿宋_GB2312"/>
                            <w:sz w:val="22"/>
                          </w:rPr>
                          <w:t>×宽×高，</w:t>
                        </w:r>
                        <w:r>
                          <w:rPr>
                            <w:rFonts w:ascii="仿宋_GB2312" w:hAnsi="仿宋_GB2312" w:cs="仿宋_GB2312" w:eastAsia="仿宋_GB2312"/>
                            <w:sz w:val="22"/>
                          </w:rPr>
                          <w:t>m</w:t>
                        </w:r>
                        <w:r>
                          <w:rPr>
                            <w:rFonts w:ascii="仿宋_GB2312" w:hAnsi="仿宋_GB2312" w:cs="仿宋_GB2312" w:eastAsia="仿宋_GB2312"/>
                            <w:sz w:val="22"/>
                          </w:rPr>
                          <w:t>）</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不大于</w:t>
                        </w:r>
                        <w:r>
                          <w:rPr>
                            <w:rFonts w:ascii="仿宋_GB2312" w:hAnsi="仿宋_GB2312" w:cs="仿宋_GB2312" w:eastAsia="仿宋_GB2312"/>
                            <w:sz w:val="22"/>
                          </w:rPr>
                          <w:t>18×2.6×3.8</w:t>
                        </w:r>
                      </w:p>
                    </w:tc>
                  </w:tr>
                </w:tbl>
                <w:p>
                  <w:pPr>
                    <w:pStyle w:val="null3"/>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隧道爆破作业实训设备</w:t>
                  </w:r>
                </w:p>
              </w:tc>
              <w:tc>
                <w:tcPr>
                  <w:tcW w:type="dxa" w:w="12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88"/>
                    <w:gridCol w:w="469"/>
                    <w:gridCol w:w="503"/>
                  </w:tblGrid>
                  <w:tr>
                    <w:tc>
                      <w:tcPr>
                        <w:tcW w:type="dxa" w:w="8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基本参数</w:t>
                        </w:r>
                      </w:p>
                    </w:tc>
                    <w:tc>
                      <w:tcPr>
                        <w:tcW w:type="dxa" w:w="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技术参数</w:t>
                        </w:r>
                      </w:p>
                    </w:tc>
                    <w:tc>
                      <w:tcPr>
                        <w:tcW w:type="dxa" w:w="5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技术参数要求</w:t>
                        </w:r>
                      </w:p>
                    </w:tc>
                  </w:tr>
                  <w:tr>
                    <w:tc>
                      <w:tcPr>
                        <w:tcW w:type="dxa" w:w="88"/>
                        <w:vMerge/>
                        <w:tcBorders>
                          <w:top w:val="single" w:color="000000" w:sz="4"/>
                          <w:left w:val="single" w:color="000000" w:sz="4"/>
                          <w:bottom w:val="single" w:color="000000" w:sz="4"/>
                          <w:right w:val="single" w:color="000000" w:sz="4"/>
                        </w:tcBorders>
                      </w:tcP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作业范围（宽</w:t>
                        </w:r>
                        <w:r>
                          <w:rPr>
                            <w:rFonts w:ascii="仿宋_GB2312" w:hAnsi="仿宋_GB2312" w:cs="仿宋_GB2312" w:eastAsia="仿宋_GB2312"/>
                            <w:sz w:val="22"/>
                          </w:rPr>
                          <w:t>×高，m）</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8</w:t>
                        </w:r>
                        <w:r>
                          <w:rPr>
                            <w:rFonts w:ascii="仿宋_GB2312" w:hAnsi="仿宋_GB2312" w:cs="仿宋_GB2312" w:eastAsia="仿宋_GB2312"/>
                            <w:sz w:val="22"/>
                          </w:rPr>
                          <w:t>×13</w:t>
                        </w:r>
                      </w:p>
                    </w:tc>
                  </w:tr>
                </w:tbl>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隧道爆破作业实训设备</w:t>
                  </w:r>
                </w:p>
              </w:tc>
              <w:tc>
                <w:tcPr>
                  <w:tcW w:type="dxa" w:w="12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88"/>
                    <w:gridCol w:w="469"/>
                    <w:gridCol w:w="503"/>
                  </w:tblGrid>
                  <w:tr>
                    <w:tc>
                      <w:tcPr>
                        <w:tcW w:type="dxa" w:w="8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基本参数</w:t>
                        </w:r>
                      </w:p>
                    </w:tc>
                    <w:tc>
                      <w:tcPr>
                        <w:tcW w:type="dxa" w:w="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技术参数</w:t>
                        </w:r>
                      </w:p>
                    </w:tc>
                    <w:tc>
                      <w:tcPr>
                        <w:tcW w:type="dxa" w:w="5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技术参数要求</w:t>
                        </w:r>
                      </w:p>
                    </w:tc>
                  </w:tr>
                  <w:tr>
                    <w:tc>
                      <w:tcPr>
                        <w:tcW w:type="dxa" w:w="88"/>
                        <w:vMerge/>
                        <w:tcBorders>
                          <w:top w:val="single" w:color="000000" w:sz="4"/>
                          <w:left w:val="single" w:color="000000" w:sz="4"/>
                          <w:bottom w:val="single" w:color="000000" w:sz="4"/>
                          <w:right w:val="single" w:color="000000" w:sz="4"/>
                        </w:tcBorders>
                      </w:tcP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整机功率（</w:t>
                        </w:r>
                        <w:r>
                          <w:rPr>
                            <w:rFonts w:ascii="仿宋_GB2312" w:hAnsi="仿宋_GB2312" w:cs="仿宋_GB2312" w:eastAsia="仿宋_GB2312"/>
                            <w:sz w:val="22"/>
                          </w:rPr>
                          <w:t>kW）</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w:t>
                        </w:r>
                        <w:r>
                          <w:rPr>
                            <w:rFonts w:ascii="仿宋_GB2312" w:hAnsi="仿宋_GB2312" w:cs="仿宋_GB2312" w:eastAsia="仿宋_GB2312"/>
                            <w:sz w:val="22"/>
                          </w:rPr>
                          <w:t>90</w:t>
                        </w:r>
                      </w:p>
                    </w:tc>
                  </w:tr>
                </w:tbl>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隧道爆破作业实训设备</w:t>
                  </w:r>
                </w:p>
                <w:p>
                  <w:pPr>
                    <w:pStyle w:val="null3"/>
                    <w:jc w:val="both"/>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2.设备配置参数</w:t>
                  </w:r>
                </w:p>
                <w:tbl>
                  <w:tblPr>
                    <w:tblInd w:type="dxa" w:w="120"/>
                    <w:tblBorders>
                      <w:top w:val="none" w:color="000000" w:sz="4"/>
                      <w:left w:val="none" w:color="000000" w:sz="4"/>
                      <w:bottom w:val="none" w:color="000000" w:sz="4"/>
                      <w:right w:val="none" w:color="000000" w:sz="4"/>
                      <w:insideH w:val="none"/>
                      <w:insideV w:val="none"/>
                    </w:tblBorders>
                  </w:tblPr>
                  <w:tblGrid>
                    <w:gridCol w:w="84"/>
                    <w:gridCol w:w="474"/>
                    <w:gridCol w:w="502"/>
                  </w:tblGrid>
                  <w:tr>
                    <w:tc>
                      <w:tcPr>
                        <w:tcW w:type="dxa" w:w="8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凿岩机</w:t>
                        </w:r>
                      </w:p>
                    </w:tc>
                    <w:tc>
                      <w:tcPr>
                        <w:tcW w:type="dxa" w:w="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w:t>
                        </w:r>
                        <w:r>
                          <w:rPr>
                            <w:rFonts w:ascii="仿宋_GB2312" w:hAnsi="仿宋_GB2312" w:cs="仿宋_GB2312" w:eastAsia="仿宋_GB2312"/>
                            <w:sz w:val="22"/>
                          </w:rPr>
                          <w:t>冲击功率（</w:t>
                        </w:r>
                        <w:r>
                          <w:rPr>
                            <w:rFonts w:ascii="仿宋_GB2312" w:hAnsi="仿宋_GB2312" w:cs="仿宋_GB2312" w:eastAsia="仿宋_GB2312"/>
                            <w:sz w:val="22"/>
                          </w:rPr>
                          <w:t>kW）</w:t>
                        </w:r>
                      </w:p>
                    </w:tc>
                    <w:tc>
                      <w:tcPr>
                        <w:tcW w:type="dxa" w:w="5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18</w:t>
                        </w:r>
                      </w:p>
                    </w:tc>
                  </w:tr>
                  <w:tr>
                    <w:tc>
                      <w:tcPr>
                        <w:tcW w:type="dxa" w:w="84"/>
                        <w:vMerge/>
                        <w:tcBorders>
                          <w:top w:val="single" w:color="000000" w:sz="4"/>
                          <w:left w:val="single" w:color="000000" w:sz="4"/>
                          <w:bottom w:val="single" w:color="000000" w:sz="4"/>
                          <w:right w:val="single" w:color="000000" w:sz="4"/>
                        </w:tcBorders>
                      </w:tcP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凿岩最大旋转扭矩（</w:t>
                        </w:r>
                        <w:r>
                          <w:rPr>
                            <w:rFonts w:ascii="仿宋_GB2312" w:hAnsi="仿宋_GB2312" w:cs="仿宋_GB2312" w:eastAsia="仿宋_GB2312"/>
                            <w:sz w:val="22"/>
                          </w:rPr>
                          <w:t>N·m）</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≥590</w:t>
                        </w:r>
                      </w:p>
                    </w:tc>
                  </w:tr>
                  <w:tr>
                    <w:tc>
                      <w:tcPr>
                        <w:tcW w:type="dxa" w:w="84"/>
                        <w:vMerge/>
                        <w:tcBorders>
                          <w:top w:val="single" w:color="000000" w:sz="4"/>
                          <w:left w:val="single" w:color="000000" w:sz="4"/>
                          <w:bottom w:val="single" w:color="000000" w:sz="4"/>
                          <w:right w:val="single" w:color="000000" w:sz="4"/>
                        </w:tcBorders>
                      </w:tcP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冲击频率（次</w:t>
                        </w:r>
                        <w:r>
                          <w:rPr>
                            <w:rFonts w:ascii="仿宋_GB2312" w:hAnsi="仿宋_GB2312" w:cs="仿宋_GB2312" w:eastAsia="仿宋_GB2312"/>
                            <w:sz w:val="22"/>
                          </w:rPr>
                          <w:t>/min）</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≥3300</w:t>
                        </w:r>
                      </w:p>
                    </w:tc>
                  </w:tr>
                  <w:tr>
                    <w:tc>
                      <w:tcPr>
                        <w:tcW w:type="dxa" w:w="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钻臂</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w:t>
                        </w:r>
                        <w:r>
                          <w:rPr>
                            <w:rFonts w:ascii="仿宋_GB2312" w:hAnsi="仿宋_GB2312" w:cs="仿宋_GB2312" w:eastAsia="仿宋_GB2312"/>
                            <w:sz w:val="22"/>
                          </w:rPr>
                          <w:t>臂架伸缩量（</w:t>
                        </w:r>
                        <w:r>
                          <w:rPr>
                            <w:rFonts w:ascii="仿宋_GB2312" w:hAnsi="仿宋_GB2312" w:cs="仿宋_GB2312" w:eastAsia="仿宋_GB2312"/>
                            <w:sz w:val="22"/>
                          </w:rPr>
                          <w:t>m）</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≥2m</w:t>
                        </w:r>
                      </w:p>
                    </w:tc>
                  </w:tr>
                  <w:tr>
                    <w:tc>
                      <w:tcPr>
                        <w:tcW w:type="dxa" w:w="8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锚杆机头</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推进力（</w:t>
                        </w:r>
                        <w:r>
                          <w:rPr>
                            <w:rFonts w:ascii="仿宋_GB2312" w:hAnsi="仿宋_GB2312" w:cs="仿宋_GB2312" w:eastAsia="仿宋_GB2312"/>
                            <w:sz w:val="22"/>
                          </w:rPr>
                          <w:t>kN）</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≥11</w:t>
                        </w:r>
                      </w:p>
                    </w:tc>
                  </w:tr>
                  <w:tr>
                    <w:tc>
                      <w:tcPr>
                        <w:tcW w:type="dxa" w:w="84"/>
                        <w:vMerge/>
                        <w:tcBorders>
                          <w:top w:val="none" w:color="000000" w:sz="4"/>
                          <w:left w:val="single" w:color="000000" w:sz="4"/>
                          <w:bottom w:val="none" w:color="000000" w:sz="4"/>
                          <w:right w:val="single" w:color="000000" w:sz="4"/>
                        </w:tcBorders>
                      </w:tcP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推进梁伸缩量（</w:t>
                        </w:r>
                        <w:r>
                          <w:rPr>
                            <w:rFonts w:ascii="仿宋_GB2312" w:hAnsi="仿宋_GB2312" w:cs="仿宋_GB2312" w:eastAsia="仿宋_GB2312"/>
                            <w:sz w:val="22"/>
                          </w:rPr>
                          <w:t>m）</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≥0.5</w:t>
                        </w:r>
                      </w:p>
                    </w:tc>
                  </w:tr>
                  <w:tr>
                    <w:tc>
                      <w:tcPr>
                        <w:tcW w:type="dxa" w:w="84"/>
                        <w:vMerge/>
                        <w:tcBorders>
                          <w:top w:val="none" w:color="000000" w:sz="4"/>
                          <w:left w:val="single" w:color="000000" w:sz="4"/>
                          <w:bottom w:val="none" w:color="000000" w:sz="4"/>
                          <w:right w:val="single" w:color="000000" w:sz="4"/>
                        </w:tcBorders>
                      </w:tcP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w:t>
                        </w:r>
                        <w:r>
                          <w:rPr>
                            <w:rFonts w:ascii="仿宋_GB2312" w:hAnsi="仿宋_GB2312" w:cs="仿宋_GB2312" w:eastAsia="仿宋_GB2312"/>
                            <w:sz w:val="22"/>
                          </w:rPr>
                          <w:t>锚杆库容量（根）</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w:t>
                        </w:r>
                        <w:r>
                          <w:rPr>
                            <w:rFonts w:ascii="仿宋_GB2312" w:hAnsi="仿宋_GB2312" w:cs="仿宋_GB2312" w:eastAsia="仿宋_GB2312"/>
                            <w:sz w:val="22"/>
                          </w:rPr>
                          <w:t>9</w:t>
                        </w:r>
                      </w:p>
                    </w:tc>
                  </w:tr>
                  <w:tr>
                    <w:tc>
                      <w:tcPr>
                        <w:tcW w:type="dxa" w:w="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服务平台</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工作范围（宽</w:t>
                        </w:r>
                        <w:r>
                          <w:rPr>
                            <w:rFonts w:ascii="仿宋_GB2312" w:hAnsi="仿宋_GB2312" w:cs="仿宋_GB2312" w:eastAsia="仿宋_GB2312"/>
                            <w:sz w:val="22"/>
                          </w:rPr>
                          <w:t>×高 m）</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≥13×16</w:t>
                        </w:r>
                      </w:p>
                    </w:tc>
                  </w:tr>
                  <w:tr>
                    <w:tc>
                      <w:tcPr>
                        <w:tcW w:type="dxa" w:w="84"/>
                        <w:vMerge/>
                        <w:tcBorders>
                          <w:top w:val="none" w:color="000000" w:sz="4"/>
                          <w:left w:val="single" w:color="000000" w:sz="4"/>
                          <w:bottom w:val="single" w:color="000000" w:sz="4"/>
                          <w:right w:val="single" w:color="000000" w:sz="4"/>
                        </w:tcBorders>
                      </w:tcP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举升力（</w:t>
                        </w:r>
                        <w:r>
                          <w:rPr>
                            <w:rFonts w:ascii="仿宋_GB2312" w:hAnsi="仿宋_GB2312" w:cs="仿宋_GB2312" w:eastAsia="仿宋_GB2312"/>
                            <w:sz w:val="22"/>
                          </w:rPr>
                          <w:t>kg）</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≥400</w:t>
                        </w:r>
                      </w:p>
                    </w:tc>
                  </w:tr>
                  <w:tr>
                    <w:tc>
                      <w:tcPr>
                        <w:tcW w:type="dxa" w:w="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底盘</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爬坡能力（</w:t>
                        </w:r>
                        <w:r>
                          <w:rPr>
                            <w:rFonts w:ascii="仿宋_GB2312" w:hAnsi="仿宋_GB2312" w:cs="仿宋_GB2312" w:eastAsia="仿宋_GB2312"/>
                            <w:sz w:val="22"/>
                          </w:rPr>
                          <w:t>°）</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≥15°</w:t>
                        </w:r>
                      </w:p>
                    </w:tc>
                  </w:tr>
                  <w:tr>
                    <w:tc>
                      <w:tcPr>
                        <w:tcW w:type="dxa" w:w="84"/>
                        <w:vMerge/>
                        <w:tcBorders>
                          <w:top w:val="none" w:color="000000" w:sz="4"/>
                          <w:left w:val="single" w:color="000000" w:sz="4"/>
                          <w:bottom w:val="single" w:color="000000" w:sz="4"/>
                          <w:right w:val="single" w:color="000000" w:sz="4"/>
                        </w:tcBorders>
                      </w:tcP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离地间隙（</w:t>
                        </w:r>
                        <w:r>
                          <w:rPr>
                            <w:rFonts w:ascii="仿宋_GB2312" w:hAnsi="仿宋_GB2312" w:cs="仿宋_GB2312" w:eastAsia="仿宋_GB2312"/>
                            <w:sz w:val="22"/>
                          </w:rPr>
                          <w:t>mm）</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≥350</w:t>
                        </w:r>
                      </w:p>
                    </w:tc>
                  </w:tr>
                  <w:tr>
                    <w:tc>
                      <w:tcPr>
                        <w:tcW w:type="dxa" w:w="84"/>
                        <w:vMerge/>
                        <w:tcBorders>
                          <w:top w:val="none" w:color="000000" w:sz="4"/>
                          <w:left w:val="single" w:color="000000" w:sz="4"/>
                          <w:bottom w:val="single" w:color="000000" w:sz="4"/>
                          <w:right w:val="single" w:color="000000" w:sz="4"/>
                        </w:tcBorders>
                      </w:tcP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w:t>
                        </w:r>
                        <w:r>
                          <w:rPr>
                            <w:rFonts w:ascii="仿宋_GB2312" w:hAnsi="仿宋_GB2312" w:cs="仿宋_GB2312" w:eastAsia="仿宋_GB2312"/>
                            <w:sz w:val="22"/>
                          </w:rPr>
                          <w:t>制动型式</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全封闭湿式制动</w:t>
                        </w:r>
                      </w:p>
                    </w:tc>
                  </w:tr>
                  <w:tr>
                    <w:tc>
                      <w:tcPr>
                        <w:tcW w:type="dxa" w:w="84"/>
                        <w:vMerge/>
                        <w:tcBorders>
                          <w:top w:val="none" w:color="000000" w:sz="4"/>
                          <w:left w:val="single" w:color="000000" w:sz="4"/>
                          <w:bottom w:val="single" w:color="000000" w:sz="4"/>
                          <w:right w:val="single" w:color="000000" w:sz="4"/>
                        </w:tcBorders>
                      </w:tcP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转向型式</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铰接转向</w:t>
                        </w:r>
                      </w:p>
                    </w:tc>
                  </w:tr>
                  <w:tr>
                    <w:tc>
                      <w:tcPr>
                        <w:tcW w:type="dxa" w:w="84"/>
                        <w:vMerge/>
                        <w:tcBorders>
                          <w:top w:val="none" w:color="000000" w:sz="4"/>
                          <w:left w:val="single" w:color="000000" w:sz="4"/>
                          <w:bottom w:val="single" w:color="000000" w:sz="4"/>
                          <w:right w:val="single" w:color="000000" w:sz="4"/>
                        </w:tcBorders>
                      </w:tcP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w:t>
                        </w:r>
                        <w:r>
                          <w:rPr>
                            <w:rFonts w:ascii="仿宋_GB2312" w:hAnsi="仿宋_GB2312" w:cs="仿宋_GB2312" w:eastAsia="仿宋_GB2312"/>
                            <w:sz w:val="22"/>
                          </w:rPr>
                          <w:t>发动机功率</w:t>
                        </w:r>
                        <w:r>
                          <w:rPr>
                            <w:rFonts w:ascii="仿宋_GB2312" w:hAnsi="仿宋_GB2312" w:cs="仿宋_GB2312" w:eastAsia="仿宋_GB2312"/>
                            <w:sz w:val="22"/>
                          </w:rPr>
                          <w:t>(kW)</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≥125</w:t>
                        </w:r>
                      </w:p>
                    </w:tc>
                  </w:tr>
                  <w:tr>
                    <w:tc>
                      <w:tcPr>
                        <w:tcW w:type="dxa" w:w="8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注浆系统</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水平输送距离（</w:t>
                        </w:r>
                        <w:r>
                          <w:rPr>
                            <w:rFonts w:ascii="仿宋_GB2312" w:hAnsi="仿宋_GB2312" w:cs="仿宋_GB2312" w:eastAsia="仿宋_GB2312"/>
                            <w:sz w:val="22"/>
                          </w:rPr>
                          <w:t>m）</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≥55</w:t>
                        </w:r>
                      </w:p>
                    </w:tc>
                  </w:tr>
                  <w:tr>
                    <w:tc>
                      <w:tcPr>
                        <w:tcW w:type="dxa" w:w="84"/>
                        <w:vMerge/>
                        <w:tcBorders>
                          <w:top w:val="none" w:color="000000" w:sz="4"/>
                          <w:left w:val="single" w:color="000000" w:sz="4"/>
                          <w:bottom w:val="none" w:color="000000" w:sz="4"/>
                          <w:right w:val="single" w:color="000000" w:sz="4"/>
                        </w:tcBorders>
                      </w:tcP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竖直输送距离（</w:t>
                        </w:r>
                        <w:r>
                          <w:rPr>
                            <w:rFonts w:ascii="仿宋_GB2312" w:hAnsi="仿宋_GB2312" w:cs="仿宋_GB2312" w:eastAsia="仿宋_GB2312"/>
                            <w:sz w:val="22"/>
                          </w:rPr>
                          <w:t>m）</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≥25</w:t>
                        </w:r>
                      </w:p>
                    </w:tc>
                  </w:tr>
                  <w:tr>
                    <w:tc>
                      <w:tcPr>
                        <w:tcW w:type="dxa" w:w="84"/>
                        <w:vMerge/>
                        <w:tcBorders>
                          <w:top w:val="none" w:color="000000" w:sz="4"/>
                          <w:left w:val="single" w:color="000000" w:sz="4"/>
                          <w:bottom w:val="none" w:color="000000" w:sz="4"/>
                          <w:right w:val="single" w:color="000000" w:sz="4"/>
                        </w:tcBorders>
                      </w:tcP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w:t>
                        </w:r>
                        <w:r>
                          <w:rPr>
                            <w:rFonts w:ascii="仿宋_GB2312" w:hAnsi="仿宋_GB2312" w:cs="仿宋_GB2312" w:eastAsia="仿宋_GB2312"/>
                            <w:sz w:val="22"/>
                          </w:rPr>
                          <w:t>出浆口压力（</w:t>
                        </w:r>
                        <w:r>
                          <w:rPr>
                            <w:rFonts w:ascii="仿宋_GB2312" w:hAnsi="仿宋_GB2312" w:cs="仿宋_GB2312" w:eastAsia="仿宋_GB2312"/>
                            <w:sz w:val="22"/>
                          </w:rPr>
                          <w:t>bar）</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≥30</w:t>
                        </w:r>
                      </w:p>
                    </w:tc>
                  </w:tr>
                  <w:tr>
                    <w:tc>
                      <w:tcPr>
                        <w:tcW w:type="dxa" w:w="84"/>
                        <w:vMerge/>
                        <w:tcBorders>
                          <w:top w:val="none" w:color="000000" w:sz="4"/>
                          <w:left w:val="single" w:color="000000" w:sz="4"/>
                          <w:bottom w:val="none" w:color="000000" w:sz="4"/>
                          <w:right w:val="single" w:color="000000" w:sz="4"/>
                        </w:tcBorders>
                      </w:tcP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▲最大</w:t>
                        </w:r>
                        <w:r>
                          <w:rPr>
                            <w:rFonts w:ascii="仿宋_GB2312" w:hAnsi="仿宋_GB2312" w:cs="仿宋_GB2312" w:eastAsia="仿宋_GB2312"/>
                            <w:sz w:val="22"/>
                          </w:rPr>
                          <w:t>排量（</w:t>
                        </w:r>
                        <w:r>
                          <w:rPr>
                            <w:rFonts w:ascii="仿宋_GB2312" w:hAnsi="仿宋_GB2312" w:cs="仿宋_GB2312" w:eastAsia="仿宋_GB2312"/>
                            <w:sz w:val="22"/>
                          </w:rPr>
                          <w:t>L/min）</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≥50</w:t>
                        </w:r>
                      </w:p>
                    </w:tc>
                  </w:tr>
                  <w:tr>
                    <w:tc>
                      <w:tcPr>
                        <w:tcW w:type="dxa" w:w="8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水系统</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水泵功率</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≥4kW</w:t>
                        </w:r>
                      </w:p>
                    </w:tc>
                  </w:tr>
                  <w:tr>
                    <w:tc>
                      <w:tcPr>
                        <w:tcW w:type="dxa" w:w="84"/>
                        <w:vMerge/>
                        <w:tcBorders>
                          <w:top w:val="none" w:color="000000" w:sz="4"/>
                          <w:left w:val="single" w:color="000000" w:sz="4"/>
                          <w:bottom w:val="none" w:color="000000" w:sz="4"/>
                          <w:right w:val="single" w:color="000000" w:sz="4"/>
                        </w:tcBorders>
                      </w:tcP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水泵流量（</w:t>
                        </w:r>
                        <w:r>
                          <w:rPr>
                            <w:rFonts w:ascii="仿宋_GB2312" w:hAnsi="仿宋_GB2312" w:cs="仿宋_GB2312" w:eastAsia="仿宋_GB2312"/>
                            <w:sz w:val="22"/>
                          </w:rPr>
                          <w:t>m³/h）</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≥3.5</w:t>
                        </w:r>
                      </w:p>
                    </w:tc>
                  </w:tr>
                  <w:tr>
                    <w:tc>
                      <w:tcPr>
                        <w:tcW w:type="dxa" w:w="8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气系统</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空压机功率</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≥4kW</w:t>
                        </w:r>
                      </w:p>
                    </w:tc>
                  </w:tr>
                  <w:tr>
                    <w:tc>
                      <w:tcPr>
                        <w:tcW w:type="dxa" w:w="84"/>
                        <w:vMerge/>
                        <w:tcBorders>
                          <w:top w:val="none" w:color="000000" w:sz="4"/>
                          <w:left w:val="single" w:color="000000" w:sz="4"/>
                          <w:bottom w:val="none" w:color="000000" w:sz="4"/>
                          <w:right w:val="single" w:color="000000" w:sz="4"/>
                        </w:tcBorders>
                      </w:tcP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排量（</w:t>
                        </w:r>
                        <w:r>
                          <w:rPr>
                            <w:rFonts w:ascii="仿宋_GB2312" w:hAnsi="仿宋_GB2312" w:cs="仿宋_GB2312" w:eastAsia="仿宋_GB2312"/>
                            <w:sz w:val="22"/>
                          </w:rPr>
                          <w:t>m³/min）</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≥0.4</w:t>
                        </w:r>
                      </w:p>
                    </w:tc>
                  </w:tr>
                </w:tbl>
                <w:p>
                  <w:pPr>
                    <w:pStyle w:val="null3"/>
                    <w:jc w:val="both"/>
                  </w:pPr>
                  <w:r>
                    <w:rPr>
                      <w:rFonts w:ascii="仿宋_GB2312" w:hAnsi="仿宋_GB2312" w:cs="仿宋_GB2312" w:eastAsia="仿宋_GB2312"/>
                      <w:sz w:val="22"/>
                      <w:b/>
                    </w:rPr>
                    <w:t>3.其他技术要求</w:t>
                  </w:r>
                </w:p>
                <w:tbl>
                  <w:tblPr>
                    <w:tblInd w:type="dxa" w:w="120"/>
                    <w:tblBorders>
                      <w:top w:val="none" w:color="000000" w:sz="4"/>
                      <w:left w:val="none" w:color="000000" w:sz="4"/>
                      <w:bottom w:val="none" w:color="000000" w:sz="4"/>
                      <w:right w:val="none" w:color="000000" w:sz="4"/>
                      <w:insideH w:val="none"/>
                      <w:insideV w:val="none"/>
                    </w:tblBorders>
                  </w:tblPr>
                  <w:tblGrid>
                    <w:gridCol w:w="322"/>
                    <w:gridCol w:w="738"/>
                  </w:tblGrid>
                  <w:tr>
                    <w:tc>
                      <w:tcPr>
                        <w:tcW w:type="dxa" w:w="106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功能要求</w:t>
                        </w:r>
                      </w:p>
                    </w:tc>
                  </w:tr>
                  <w:tr>
                    <w:tc>
                      <w:tcPr>
                        <w:tcW w:type="dxa" w:w="3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底盘</w:t>
                        </w:r>
                      </w:p>
                      <w:p>
                        <w:pPr>
                          <w:pStyle w:val="null3"/>
                          <w:jc w:val="center"/>
                        </w:pPr>
                        <w:r>
                          <w:rPr>
                            <w:rFonts w:ascii="仿宋_GB2312" w:hAnsi="仿宋_GB2312" w:cs="仿宋_GB2312" w:eastAsia="仿宋_GB2312"/>
                            <w:sz w:val="22"/>
                          </w:rPr>
                          <w:t>系统</w:t>
                        </w: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w:t>
                        </w:r>
                        <w:r>
                          <w:rPr>
                            <w:rFonts w:ascii="仿宋_GB2312" w:hAnsi="仿宋_GB2312" w:cs="仿宋_GB2312" w:eastAsia="仿宋_GB2312"/>
                            <w:sz w:val="22"/>
                          </w:rPr>
                          <w:t>封闭式可升降驾驶室，配置空调，视野开阔。</w:t>
                        </w:r>
                      </w:p>
                    </w:tc>
                  </w:tr>
                  <w:tr>
                    <w:tc>
                      <w:tcPr>
                        <w:tcW w:type="dxa" w:w="322"/>
                        <w:vMerge/>
                        <w:tcBorders>
                          <w:top w:val="none" w:color="000000" w:sz="4"/>
                          <w:left w:val="singl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配备电缆卷筒，电缆长度</w:t>
                        </w:r>
                        <w:r>
                          <w:rPr>
                            <w:rFonts w:ascii="仿宋_GB2312" w:hAnsi="仿宋_GB2312" w:cs="仿宋_GB2312" w:eastAsia="仿宋_GB2312"/>
                            <w:sz w:val="22"/>
                          </w:rPr>
                          <w:t>≥100m。</w:t>
                        </w:r>
                      </w:p>
                    </w:tc>
                  </w:tr>
                  <w:tr>
                    <w:tc>
                      <w:tcPr>
                        <w:tcW w:type="dxa" w:w="322"/>
                        <w:vMerge/>
                        <w:tcBorders>
                          <w:top w:val="none" w:color="000000" w:sz="4"/>
                          <w:left w:val="singl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配备水管卷筒，水管长度</w:t>
                        </w:r>
                        <w:r>
                          <w:rPr>
                            <w:rFonts w:ascii="仿宋_GB2312" w:hAnsi="仿宋_GB2312" w:cs="仿宋_GB2312" w:eastAsia="仿宋_GB2312"/>
                            <w:sz w:val="22"/>
                          </w:rPr>
                          <w:t>≥100m。</w:t>
                        </w:r>
                      </w:p>
                    </w:tc>
                  </w:tr>
                  <w:tr>
                    <w:tc>
                      <w:tcPr>
                        <w:tcW w:type="dxa" w:w="3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钻臂</w:t>
                        </w:r>
                      </w:p>
                      <w:p>
                        <w:pPr>
                          <w:pStyle w:val="null3"/>
                          <w:jc w:val="center"/>
                        </w:pPr>
                        <w:r>
                          <w:rPr>
                            <w:rFonts w:ascii="仿宋_GB2312" w:hAnsi="仿宋_GB2312" w:cs="仿宋_GB2312" w:eastAsia="仿宋_GB2312"/>
                            <w:sz w:val="22"/>
                          </w:rPr>
                          <w:t>及凿</w:t>
                        </w:r>
                      </w:p>
                      <w:p>
                        <w:pPr>
                          <w:pStyle w:val="null3"/>
                          <w:jc w:val="center"/>
                        </w:pPr>
                        <w:r>
                          <w:rPr>
                            <w:rFonts w:ascii="仿宋_GB2312" w:hAnsi="仿宋_GB2312" w:cs="仿宋_GB2312" w:eastAsia="仿宋_GB2312"/>
                            <w:sz w:val="22"/>
                          </w:rPr>
                          <w:t>岩系统</w:t>
                        </w: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w:t>
                        </w:r>
                        <w:r>
                          <w:rPr>
                            <w:rFonts w:ascii="仿宋_GB2312" w:hAnsi="仿宋_GB2312" w:cs="仿宋_GB2312" w:eastAsia="仿宋_GB2312"/>
                            <w:sz w:val="22"/>
                          </w:rPr>
                          <w:t>具有</w:t>
                        </w:r>
                        <w:r>
                          <w:rPr>
                            <w:rFonts w:ascii="仿宋_GB2312" w:hAnsi="仿宋_GB2312" w:cs="仿宋_GB2312" w:eastAsia="仿宋_GB2312"/>
                            <w:sz w:val="22"/>
                          </w:rPr>
                          <w:t>1个钻臂，一个吊篮臂，1台凿岩机</w:t>
                        </w:r>
                      </w:p>
                    </w:tc>
                  </w:tr>
                  <w:tr>
                    <w:tc>
                      <w:tcPr>
                        <w:tcW w:type="dxa" w:w="322"/>
                        <w:vMerge/>
                        <w:tcBorders>
                          <w:top w:val="none" w:color="000000" w:sz="4"/>
                          <w:left w:val="singl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凿岩系统具备防卡钎、防空打功能。</w:t>
                        </w:r>
                      </w:p>
                    </w:tc>
                  </w:tr>
                  <w:tr>
                    <w:tc>
                      <w:tcPr>
                        <w:tcW w:type="dxa" w:w="3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智能控制系统</w:t>
                        </w: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w:t>
                        </w:r>
                        <w:r>
                          <w:rPr>
                            <w:rFonts w:ascii="仿宋_GB2312" w:hAnsi="仿宋_GB2312" w:cs="仿宋_GB2312" w:eastAsia="仿宋_GB2312"/>
                            <w:sz w:val="22"/>
                          </w:rPr>
                          <w:t>整机控制系统中文人机交互界面。</w:t>
                        </w:r>
                      </w:p>
                    </w:tc>
                  </w:tr>
                  <w:tr>
                    <w:tc>
                      <w:tcPr>
                        <w:tcW w:type="dxa" w:w="322"/>
                        <w:vMerge/>
                        <w:tcBorders>
                          <w:top w:val="none" w:color="000000" w:sz="4"/>
                          <w:left w:val="singl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w:t>
                        </w:r>
                        <w:r>
                          <w:rPr>
                            <w:rFonts w:ascii="仿宋_GB2312" w:hAnsi="仿宋_GB2312" w:cs="仿宋_GB2312" w:eastAsia="仿宋_GB2312"/>
                            <w:sz w:val="22"/>
                          </w:rPr>
                          <w:t>控制系统具有自主知识产权。</w:t>
                        </w:r>
                      </w:p>
                    </w:tc>
                  </w:tr>
                  <w:tr>
                    <w:tc>
                      <w:tcPr>
                        <w:tcW w:type="dxa" w:w="322"/>
                        <w:vMerge/>
                        <w:tcBorders>
                          <w:top w:val="none" w:color="000000" w:sz="4"/>
                          <w:left w:val="singl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w:t>
                        </w:r>
                        <w:r>
                          <w:rPr>
                            <w:rFonts w:ascii="仿宋_GB2312" w:hAnsi="仿宋_GB2312" w:cs="仿宋_GB2312" w:eastAsia="仿宋_GB2312"/>
                            <w:sz w:val="22"/>
                          </w:rPr>
                          <w:t>具备一键钻孔功能，包括自动低速开孔钻进、功率爬升、全功率钻进、自动回退</w:t>
                        </w:r>
                      </w:p>
                    </w:tc>
                  </w:tr>
                  <w:tr>
                    <w:tc>
                      <w:tcPr>
                        <w:tcW w:type="dxa" w:w="322"/>
                        <w:vMerge/>
                        <w:tcBorders>
                          <w:top w:val="none" w:color="000000" w:sz="4"/>
                          <w:left w:val="singl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具备钻孔、安装锚杆、注浆等施工数据的信息实时显示、采集及传输等功能，相关数据满足铁路、水利、矿山等领域工程管理平台的上传要求。</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高原适应性</w:t>
                        </w: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w:t>
                        </w:r>
                        <w:r>
                          <w:rPr>
                            <w:rFonts w:ascii="仿宋_GB2312" w:hAnsi="仿宋_GB2312" w:cs="仿宋_GB2312" w:eastAsia="仿宋_GB2312"/>
                            <w:sz w:val="22"/>
                          </w:rPr>
                          <w:t>具备发动机冷却液预热、液压油预热等适应</w:t>
                        </w:r>
                      </w:p>
                      <w:p>
                        <w:pPr>
                          <w:pStyle w:val="null3"/>
                          <w:jc w:val="both"/>
                        </w:pPr>
                        <w:r>
                          <w:rPr>
                            <w:rFonts w:ascii="仿宋_GB2312" w:hAnsi="仿宋_GB2312" w:cs="仿宋_GB2312" w:eastAsia="仿宋_GB2312"/>
                            <w:sz w:val="22"/>
                          </w:rPr>
                          <w:t>高原高海拔、高寒等环境工作。</w:t>
                        </w:r>
                      </w:p>
                    </w:tc>
                  </w:tr>
                </w:tbl>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4.需执行的国家相关标准、行业标准、地方标准或者其他标准、规范：</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19"/>
                    </w:rPr>
                    <w:t>起重机设计规范</w:t>
                  </w:r>
                  <w:r>
                    <w:rPr>
                      <w:rFonts w:ascii="仿宋_GB2312" w:hAnsi="仿宋_GB2312" w:cs="仿宋_GB2312" w:eastAsia="仿宋_GB2312"/>
                      <w:sz w:val="21"/>
                    </w:rPr>
                    <w:t>（</w:t>
                  </w:r>
                  <w:r>
                    <w:rPr>
                      <w:rFonts w:ascii="仿宋_GB2312" w:hAnsi="仿宋_GB2312" w:cs="仿宋_GB2312" w:eastAsia="仿宋_GB2312"/>
                      <w:sz w:val="19"/>
                    </w:rPr>
                    <w:t>GB/T 3811-2008</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19"/>
                    </w:rPr>
                    <w:t>工程机械用柴油机技术条件</w:t>
                  </w:r>
                  <w:r>
                    <w:rPr>
                      <w:rFonts w:ascii="仿宋_GB2312" w:hAnsi="仿宋_GB2312" w:cs="仿宋_GB2312" w:eastAsia="仿宋_GB2312"/>
                      <w:sz w:val="21"/>
                    </w:rPr>
                    <w:t>（</w:t>
                  </w:r>
                  <w:r>
                    <w:rPr>
                      <w:rFonts w:ascii="仿宋_GB2312" w:hAnsi="仿宋_GB2312" w:cs="仿宋_GB2312" w:eastAsia="仿宋_GB2312"/>
                      <w:sz w:val="21"/>
                    </w:rPr>
                    <w:t>JB/T 4198.1-2020）；</w:t>
                  </w:r>
                </w:p>
                <w:p>
                  <w:pPr>
                    <w:pStyle w:val="null3"/>
                    <w:jc w:val="both"/>
                  </w:pPr>
                  <w:r>
                    <w:rPr>
                      <w:rFonts w:ascii="仿宋_GB2312" w:hAnsi="仿宋_GB2312" w:cs="仿宋_GB2312" w:eastAsia="仿宋_GB2312"/>
                      <w:sz w:val="21"/>
                    </w:rPr>
                    <w:t>③</w:t>
                  </w:r>
                  <w:r>
                    <w:rPr>
                      <w:rFonts w:ascii="仿宋_GB2312" w:hAnsi="仿宋_GB2312" w:cs="仿宋_GB2312" w:eastAsia="仿宋_GB2312"/>
                      <w:sz w:val="19"/>
                    </w:rPr>
                    <w:t>非道路移动机械用柴油机排气污染物排放限值及测量方法（中国第三、四阶段）</w:t>
                  </w:r>
                  <w:r>
                    <w:rPr>
                      <w:rFonts w:ascii="仿宋_GB2312" w:hAnsi="仿宋_GB2312" w:cs="仿宋_GB2312" w:eastAsia="仿宋_GB2312"/>
                      <w:sz w:val="21"/>
                    </w:rPr>
                    <w:t>（</w:t>
                  </w:r>
                  <w:r>
                    <w:rPr>
                      <w:rFonts w:ascii="仿宋_GB2312" w:hAnsi="仿宋_GB2312" w:cs="仿宋_GB2312" w:eastAsia="仿宋_GB2312"/>
                      <w:sz w:val="19"/>
                    </w:rPr>
                    <w:t>GB 20891-2014</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④</w:t>
                  </w:r>
                  <w:r>
                    <w:rPr>
                      <w:rFonts w:ascii="仿宋_GB2312" w:hAnsi="仿宋_GB2312" w:cs="仿宋_GB2312" w:eastAsia="仿宋_GB2312"/>
                      <w:sz w:val="19"/>
                    </w:rPr>
                    <w:t>工程机械动力换挡变速器</w:t>
                  </w:r>
                  <w:r>
                    <w:rPr>
                      <w:rFonts w:ascii="仿宋_GB2312" w:hAnsi="仿宋_GB2312" w:cs="仿宋_GB2312" w:eastAsia="仿宋_GB2312"/>
                      <w:sz w:val="21"/>
                    </w:rPr>
                    <w:t>（</w:t>
                  </w:r>
                  <w:r>
                    <w:rPr>
                      <w:rFonts w:ascii="仿宋_GB2312" w:hAnsi="仿宋_GB2312" w:cs="仿宋_GB2312" w:eastAsia="仿宋_GB2312"/>
                      <w:sz w:val="19"/>
                    </w:rPr>
                    <w:t>JB/T 8548-1997</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⑤</w:t>
                  </w:r>
                  <w:r>
                    <w:rPr>
                      <w:rFonts w:ascii="仿宋_GB2312" w:hAnsi="仿宋_GB2312" w:cs="仿宋_GB2312" w:eastAsia="仿宋_GB2312"/>
                      <w:sz w:val="19"/>
                    </w:rPr>
                    <w:t>工程机械</w:t>
                  </w:r>
                  <w:r>
                    <w:rPr>
                      <w:rFonts w:ascii="仿宋_GB2312" w:hAnsi="仿宋_GB2312" w:cs="仿宋_GB2312" w:eastAsia="仿宋_GB2312"/>
                      <w:sz w:val="19"/>
                    </w:rPr>
                    <w:t>装配通用技术条件</w:t>
                  </w:r>
                  <w:r>
                    <w:rPr>
                      <w:rFonts w:ascii="仿宋_GB2312" w:hAnsi="仿宋_GB2312" w:cs="仿宋_GB2312" w:eastAsia="仿宋_GB2312"/>
                      <w:sz w:val="21"/>
                    </w:rPr>
                    <w:t>（</w:t>
                  </w:r>
                  <w:r>
                    <w:rPr>
                      <w:rFonts w:ascii="仿宋_GB2312" w:hAnsi="仿宋_GB2312" w:cs="仿宋_GB2312" w:eastAsia="仿宋_GB2312"/>
                      <w:sz w:val="19"/>
                    </w:rPr>
                    <w:t>JB/T 5948-2018</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⑥</w:t>
                  </w:r>
                  <w:r>
                    <w:rPr>
                      <w:rFonts w:ascii="仿宋_GB2312" w:hAnsi="仿宋_GB2312" w:cs="仿宋_GB2312" w:eastAsia="仿宋_GB2312"/>
                      <w:sz w:val="19"/>
                    </w:rPr>
                    <w:t>工程机械机械加工件通用技术条件</w:t>
                  </w:r>
                  <w:r>
                    <w:rPr>
                      <w:rFonts w:ascii="仿宋_GB2312" w:hAnsi="仿宋_GB2312" w:cs="仿宋_GB2312" w:eastAsia="仿宋_GB2312"/>
                      <w:sz w:val="21"/>
                    </w:rPr>
                    <w:t>（</w:t>
                  </w:r>
                  <w:r>
                    <w:rPr>
                      <w:rFonts w:ascii="仿宋_GB2312" w:hAnsi="仿宋_GB2312" w:cs="仿宋_GB2312" w:eastAsia="仿宋_GB2312"/>
                      <w:sz w:val="19"/>
                    </w:rPr>
                    <w:t>JB/T 5936</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⑦</w:t>
                  </w:r>
                  <w:r>
                    <w:rPr>
                      <w:rFonts w:ascii="仿宋_GB2312" w:hAnsi="仿宋_GB2312" w:cs="仿宋_GB2312" w:eastAsia="仿宋_GB2312"/>
                      <w:sz w:val="19"/>
                    </w:rPr>
                    <w:t>工程机械焊接件通用技术条件</w:t>
                  </w:r>
                  <w:r>
                    <w:rPr>
                      <w:rFonts w:ascii="仿宋_GB2312" w:hAnsi="仿宋_GB2312" w:cs="仿宋_GB2312" w:eastAsia="仿宋_GB2312"/>
                      <w:sz w:val="21"/>
                    </w:rPr>
                    <w:t>（</w:t>
                  </w:r>
                  <w:r>
                    <w:rPr>
                      <w:rFonts w:ascii="仿宋_GB2312" w:hAnsi="仿宋_GB2312" w:cs="仿宋_GB2312" w:eastAsia="仿宋_GB2312"/>
                      <w:sz w:val="19"/>
                    </w:rPr>
                    <w:t>JB/T 5943-2018</w:t>
                  </w:r>
                  <w:r>
                    <w:rPr>
                      <w:rFonts w:ascii="仿宋_GB2312" w:hAnsi="仿宋_GB2312" w:cs="仿宋_GB2312" w:eastAsia="仿宋_GB2312"/>
                      <w:sz w:val="21"/>
                    </w:rPr>
                    <w:t>）；</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合同签订后60日历日内交货安装验收完毕。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陕西省渭南市高新技术产业开发区科教园区胜利大街西段89号</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最终验收合格后，乙方持《终验合格单》原件和全额增值税专用发票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1、产品到货后，乙方负责安装调试，达到正常运行条件后书面通知甲方验收。 2、安装调试完成后应提供详细的安装调试报告，并详细记录各种指示的实测数据。 3、提供完整的操作手册和安装、调试、维修手册；提供制造厂家的检验测试报告或产品出厂检测报告。 4、甲方根据合同要求对产品进行验收、确认产品的产地、规格、型号和数量。验收依据为本合同文本、招标文件和国内相应的标准、规范。 5、验收合格后，填写产品验收单，并向甲方提交产品所包含的所有资料，以便甲方日后管理和维护。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质保期：所有软件、硬件设备质保期为2年（自验收合格交付使用开始计算时间）。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二）未按合同要求的提供服务或质量不能满足技术要求，采购人有权终止合同，甚至对供方违约行为进行追究。（三）如有纠纷，双方友好协商解决，协商不成时可诉讼到甲方所在地人民法院解决。（四）逾期交货每天按中标金额的1‰扣违约金（用户现场条件原因导致不能按时安装除外）</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1、本项目需要落实的政府采购政策: （1）《政府采购促进中小企业发展管理办法》的通知--财库〔2020〕46号（2）财政部司法部关于政府采购支持监狱企业发展有关问题的通知--财库[2014]68号 （3）《财政部 发展改革委 生态环境部 市场监管总局关于调整优化节能产品 环境标志产品政府采购执行机制的通知》（财库〔2019〕9号）（4）《关于促进残疾人就业政府采购政策的通知》（财库[2017]141号）（5）《陕西省财政厅关于加快推进我省中小企业政府采购信用融资工作的通知》（陕财办采〔2020〕15 号）（6）《陕西省中小企业政府采购信用融资办法》陕财办采〔2018〕23号（7）《关于运用政府采购政策支持乡村产业振兴的通知》（财库〔2021〕19 号）（8）《关于进一步加大政府采购支持中小企业力度的通知》（财库〔2022〕19号）（9）《陕西省财政厅关于进一步落实政府采购支持中小企业相关政策的通知》（陕财办采〔2023〕3号）（10）《国务院办公厅关于在政府采购中实施本国产品标准及相关政策的通知》（国办发〔2025〕34号）（11）《关于推动解决政府采购异常低价问题的通知》（财库〔2026〕2号）（12）若享受以上政策优惠的企业，提供相应声明函或品目范围内产品有效认证证书。如有最新颁布的政府采购政策，按最新的文件执行。（13）本项目为专门面向中、小、微型企业采购项目。 2、保证金的退还：自中标通知书发出之日起5个工作日内退还未中标人的投标保证金,自采购合同签订之日起5个工作日内退还中标人的投标保证金。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提供上一年度至今任意一个月的依法缴纳税收的相关凭据（时间以税款所属日期为准），凭据应有税务机关或代收机关的公章或业务专用章。依法免税或无须缴纳税收的投标人，应提供相应证明文件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提供上一年度至今已缴存的至少一个月的社会保障资金缴存单据或社保机构开具的社会保险参保缴费情况证明，依法不需要缴纳社会保障资金的单位应提供相关证明材料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投标人资格条件证明文件.docx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投标人资格条件证明文件.docx 产品技术参数表 分项报价表.docx 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投标人认为有必要说明的问题.docx 开标一览表 投标人资格条件证明文件.docx 产品技术参数表 分项报价表.docx 商务应答表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除演示内容外，对招标文件技术参数要求部分的所有指标，投标人应逐条进行响应。基本分:完全符合、响应招标文件要求，没有负偏离的得24.5分；标“▲”项为重要指标，每负偏离1项扣1分，非“▲”项每负偏离一项扣0.5分，扣完为止。 备注：“▲”须提供证明材料（不限于产品检测报告、产品彩页、产品说明书、官网和功能截图等）在技术偏离表“说明”栏中标明证明材料的页码，如技术标准中对所提供证明资料有要求，以技术标准中要求的证明材料为准；未作要求的应提供主要产品的功能及性能佐证材料。未提供者视为负偏离。证明资料与产品技术参数表数据不一致时，以证明资料为准。</w:t>
            </w:r>
          </w:p>
        </w:tc>
        <w:tc>
          <w:tcPr>
            <w:tcW w:type="dxa" w:w="831"/>
          </w:tcPr>
          <w:p>
            <w:pPr>
              <w:pStyle w:val="null3"/>
              <w:jc w:val="right"/>
            </w:pPr>
            <w:r>
              <w:rPr>
                <w:rFonts w:ascii="仿宋_GB2312" w:hAnsi="仿宋_GB2312" w:cs="仿宋_GB2312" w:eastAsia="仿宋_GB2312"/>
              </w:rPr>
              <w:t>24.5000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①项目总体生产实施方案、②供货组织安排、③进度安排、④质量保证及实施重点难点分析。评审标准：方案各部分内容全面详细、阐述条例清晰详尽、符合本项目采购需求，能保障本项目实施得4分；评审内容每缺一项扣1分，评审内容每有一处缺陷未完全响应评审标准的扣0.1-0.5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详细评审---实施方案.docx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投标人提供针对本项目的①安装调试、②验收方案，评审标准：方案各部分内容全面详细、阐述条例清晰详尽、符合本项目采购需求，能保障本项目实施得2分；评审内容每缺一项扣1分，评审内容每有一处缺陷未完全响应评审标准的扣0.1-0.5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详细评审---验收方案.docx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提供所投产品合法来源渠道证明文件（不限于销售协议、代理协议、原厂授权等），确保生产供应的产品为全新产品,无假货、水货、翻新货且无产权纠纷。提供齐全计2分，提供不全的计0.1-1.0分，未提供不计分。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详细评审---供货渠道证明.docx</w:t>
            </w:r>
          </w:p>
        </w:tc>
      </w:tr>
      <w:tr>
        <w:tc>
          <w:tcPr>
            <w:tcW w:type="dxa" w:w="831"/>
            <w:vMerge/>
          </w:tcPr>
          <w:p/>
        </w:tc>
        <w:tc>
          <w:tcPr>
            <w:tcW w:type="dxa" w:w="1661"/>
          </w:tcPr>
          <w:p>
            <w:pPr>
              <w:pStyle w:val="null3"/>
            </w:pPr>
            <w:r>
              <w:rPr>
                <w:rFonts w:ascii="仿宋_GB2312" w:hAnsi="仿宋_GB2312" w:cs="仿宋_GB2312" w:eastAsia="仿宋_GB2312"/>
              </w:rPr>
              <w:t>功能演示（线下）</w:t>
            </w:r>
          </w:p>
        </w:tc>
        <w:tc>
          <w:tcPr>
            <w:tcW w:type="dxa" w:w="2492"/>
          </w:tcPr>
          <w:p>
            <w:pPr>
              <w:pStyle w:val="null3"/>
            </w:pPr>
            <w:r>
              <w:rPr>
                <w:rFonts w:ascii="仿宋_GB2312" w:hAnsi="仿宋_GB2312" w:cs="仿宋_GB2312" w:eastAsia="仿宋_GB2312"/>
              </w:rPr>
              <w:t>投标人须使用真实系统进行现场演示，演示总时长15分钟。每成功演示一项计2分，满分16分，未提供演示或虽演示但没有演示全招标要求的不计分。 环境自行搭建，演示所需设备及演示所需网络须由投标人自行准备，现场投影为HDMI接口。 页面设置及功能展示，包含以下项目：注浆系统、钻进参数显示、钻进参数设置、参数设置和显示、报警信息查询、故障诊断、施工日志。 ①注浆系统：一键设定浆液参数，具备自动落料、自动搅拌、自动送浆等功能。注浆系统采用高压水+高压气双重强力清洗系统，保证注浆系统清洗彻底，降低堵管率。 ②钻进参数显示：在上位机不同层级界面，可实时显示回转压力、冲击压力、推进压力、气雾润滑流量及压力、液压油温度、水压等钻进参数。 ③钻进参数设置：在上位机不同层级界面，可对钻进冲击压力、推进压力、防卡钎压力、防空打压力、凿岩机转速等参数进行设置，便于适应不同围岩情况。 ④锚杆参数显示：在上位机不同层级界面，可实时显示套筒和芯轴的旋转扭矩、锚杆扳手推进压力、张拉预应力等锚杆施工参数。 ⑤锚杆参数设置：在上位机不同层级界面，可对扳手推进压力、套筒和芯轴的回转速度、芯轴推进压力等参数进行设置，便于适应施工要求。 ⑥施工参数设置和显示：可设置或显示工点ID、开始里程冠号、开始里程值、结束里程冠号、结束里程值、作业人员姓名、手机号、身份证号码、设备编码、锚杆类型、锚杆规格、锚杆生产厂商、钻孔深度、孔径、锚杆入孔深度、预应力、注浆量、浆液配比、注浆压力、作业开始时间、作业结束时间等关键参数。 ⑦报警信息查询：可查询当前及历史报警，显示报警时间、报警内容等信息。 ⑧施工日志：系统自动实时记录施工数据，一键生成每班次的施工日志，手动补充备注信息；自动记录设备运行时长，每根锚杆施工日期、时间；施工日志本地存储，可通过U盘导出。</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详细评审---功能演示（线下）.docx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日期为准)承接过类似项目业绩，每提供一份得0.5分，最高得2.5分。投标人须提供1合同或合同关键页(必须含封面、内容、签订时间、盖章签字页等信息)复印件或扫描件2履约验收报告或合同对应发票复印件或扫描件，并加盖供应商公章，未按要求提供完整证明文件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机构健全，提供售后服务方案（包含①售后服务承诺书②售后服务体系③服务优势④服务资源⑤服务流程⑥备品备件供应方案、服务案例及荣誉⑦质量保证措施。各部分内容全面详细、阐述条例清晰详尽、符合本项目采购需求，得3.5分，评审内容每缺一项扣0.5分；评审内容每有一处缺陷未完全响应评审标准的扣0.1-0.5分。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详细评审---售后服务方案.docx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提供的培训方案及培训效果保证措施等进行综合评分，培训教员具有丰富的经验和应用经验，制定培训课程计划表，列出每种培训的内容、方式、次数等，培训内容应包括：①提供产品的原理和技术性能、②操作维护方法、安装调试③排除故障等各个方面。培训的具体日期及人数由使用单位确定。④配合采购人办理国家认可的培训证书（提供承诺书）；⑤培训模式各部分内容全面详细、阐述条例清晰详尽、符合本项目采购需求，得2.5分，评审内容每缺一项扣0.5分；评审内容每有一处缺陷未完全响应评审标准的扣0.1-0.25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详细评审---培训方案.docx</w:t>
            </w:r>
          </w:p>
        </w:tc>
      </w:tr>
      <w:tr>
        <w:tc>
          <w:tcPr>
            <w:tcW w:type="dxa" w:w="831"/>
            <w:vMerge/>
          </w:tcPr>
          <w:p/>
        </w:tc>
        <w:tc>
          <w:tcPr>
            <w:tcW w:type="dxa" w:w="1661"/>
          </w:tcPr>
          <w:p>
            <w:pPr>
              <w:pStyle w:val="null3"/>
            </w:pPr>
            <w:r>
              <w:rPr>
                <w:rFonts w:ascii="仿宋_GB2312" w:hAnsi="仿宋_GB2312" w:cs="仿宋_GB2312" w:eastAsia="仿宋_GB2312"/>
              </w:rPr>
              <w:t>校园服务</w:t>
            </w:r>
          </w:p>
        </w:tc>
        <w:tc>
          <w:tcPr>
            <w:tcW w:type="dxa" w:w="2492"/>
          </w:tcPr>
          <w:p>
            <w:pPr>
              <w:pStyle w:val="null3"/>
            </w:pPr>
            <w:r>
              <w:rPr>
                <w:rFonts w:ascii="仿宋_GB2312" w:hAnsi="仿宋_GB2312" w:cs="仿宋_GB2312" w:eastAsia="仿宋_GB2312"/>
              </w:rPr>
              <w:t>投标人应遵循学校校园文化育人体系，配合学校营造良好的校园育人环境，围绕环境育人、文化育人、活动育人、服务育人等各个方面，提供相应的承诺方案；完全满足得2分。有缺项或未提供不得分。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详细评审---校园服务.docx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得0.5分，每有一项为环境标志产品经国家认证的得0.5分，响应产品中每有一项产品同时为节能产品和环境标志产品得1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详见附件：投标人认为有必要说明的问题.docx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详见附件：详细评审---技术参数.docx</w:t>
      </w:r>
    </w:p>
    <w:p>
      <w:pPr>
        <w:pStyle w:val="null3"/>
        <w:ind w:firstLine="960"/>
      </w:pPr>
      <w:r>
        <w:rPr>
          <w:rFonts w:ascii="仿宋_GB2312" w:hAnsi="仿宋_GB2312" w:cs="仿宋_GB2312" w:eastAsia="仿宋_GB2312"/>
        </w:rPr>
        <w:t>详见附件：详细评审---实施方案.docx</w:t>
      </w:r>
    </w:p>
    <w:p>
      <w:pPr>
        <w:pStyle w:val="null3"/>
        <w:ind w:firstLine="960"/>
      </w:pPr>
      <w:r>
        <w:rPr>
          <w:rFonts w:ascii="仿宋_GB2312" w:hAnsi="仿宋_GB2312" w:cs="仿宋_GB2312" w:eastAsia="仿宋_GB2312"/>
        </w:rPr>
        <w:t>详见附件：详细评审---验收方案.docx</w:t>
      </w:r>
    </w:p>
    <w:p>
      <w:pPr>
        <w:pStyle w:val="null3"/>
        <w:ind w:firstLine="960"/>
      </w:pPr>
      <w:r>
        <w:rPr>
          <w:rFonts w:ascii="仿宋_GB2312" w:hAnsi="仿宋_GB2312" w:cs="仿宋_GB2312" w:eastAsia="仿宋_GB2312"/>
        </w:rPr>
        <w:t>详见附件：详细评审---供货渠道证明.docx</w:t>
      </w:r>
    </w:p>
    <w:p>
      <w:pPr>
        <w:pStyle w:val="null3"/>
        <w:ind w:firstLine="960"/>
      </w:pPr>
      <w:r>
        <w:rPr>
          <w:rFonts w:ascii="仿宋_GB2312" w:hAnsi="仿宋_GB2312" w:cs="仿宋_GB2312" w:eastAsia="仿宋_GB2312"/>
        </w:rPr>
        <w:t>详见附件：详细评审---功能演示（线下）.docx</w:t>
      </w:r>
    </w:p>
    <w:p>
      <w:pPr>
        <w:pStyle w:val="null3"/>
        <w:ind w:firstLine="960"/>
      </w:pPr>
      <w:r>
        <w:rPr>
          <w:rFonts w:ascii="仿宋_GB2312" w:hAnsi="仿宋_GB2312" w:cs="仿宋_GB2312" w:eastAsia="仿宋_GB2312"/>
        </w:rPr>
        <w:t>详见附件：详细评审---业绩.docx</w:t>
      </w:r>
    </w:p>
    <w:p>
      <w:pPr>
        <w:pStyle w:val="null3"/>
        <w:ind w:firstLine="960"/>
      </w:pPr>
      <w:r>
        <w:rPr>
          <w:rFonts w:ascii="仿宋_GB2312" w:hAnsi="仿宋_GB2312" w:cs="仿宋_GB2312" w:eastAsia="仿宋_GB2312"/>
        </w:rPr>
        <w:t>详见附件：详细评审---售后服务方案.docx</w:t>
      </w:r>
    </w:p>
    <w:p>
      <w:pPr>
        <w:pStyle w:val="null3"/>
        <w:ind w:firstLine="960"/>
      </w:pPr>
      <w:r>
        <w:rPr>
          <w:rFonts w:ascii="仿宋_GB2312" w:hAnsi="仿宋_GB2312" w:cs="仿宋_GB2312" w:eastAsia="仿宋_GB2312"/>
        </w:rPr>
        <w:t>详见附件：详细评审---培训方案.docx</w:t>
      </w:r>
    </w:p>
    <w:p>
      <w:pPr>
        <w:pStyle w:val="null3"/>
        <w:ind w:firstLine="960"/>
      </w:pPr>
      <w:r>
        <w:rPr>
          <w:rFonts w:ascii="仿宋_GB2312" w:hAnsi="仿宋_GB2312" w:cs="仿宋_GB2312" w:eastAsia="仿宋_GB2312"/>
        </w:rPr>
        <w:t>详见附件：详细评审---校园服务.docx</w:t>
      </w:r>
    </w:p>
    <w:p>
      <w:pPr>
        <w:pStyle w:val="null3"/>
        <w:ind w:firstLine="960"/>
      </w:pPr>
      <w:r>
        <w:rPr>
          <w:rFonts w:ascii="仿宋_GB2312" w:hAnsi="仿宋_GB2312" w:cs="仿宋_GB2312" w:eastAsia="仿宋_GB2312"/>
        </w:rPr>
        <w:t>详见附件：详细评审---节能环保.docx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