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版本号：陕融招字-2026-0306号20260326001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电液伺服长柱试验系统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陕融招字-2026-0306号</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陕西思迈融工程建设项目管理有限公司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陕西思迈融工程建设项目管理有限公司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电液伺服长柱试验系统</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陕融招字-2026-0306号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电液伺服长柱试验系统</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西安理工大学电液伺服长柱试验系统采购项目，电液伺服长柱试验系统主要由主机、静音伺服液压系统及测控系统组成，用于金属材料、非金属材料、建筑材料、大型结构件的压缩性能试验，通过增添拉伸夹具，可完成大型结构件的拉伸试验，增添弯曲试验装置，还可以完成大型结构件的三点弯曲、四点弯曲试验。</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采购包1（电液伺服长柱试验系统）：属于专门面向中小企业采购。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1、投标主体资格证明：供应商为具有独立承担民事责任能力的法人、其他组织或自然人,提供合法有效的统一社会信用代码营业执照（事业单位提供事业单位法人证书，自然人应提供身份证）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报告：提供2024或2025年度具有财务审计资质的单位出具的财务审计报告（成立时间至投标时间不足一年的可提供成立后任意时段的财务报表包括资产负债表、现金流量表、利润分配表）或投标前三个月内基本开户银行出具的资信证明或财政部门认可的政府采购专业担保机构出具的投标担保函</w:t>
      </w:r>
    </w:p>
    <w:p>
      <w:pPr>
        <w:pStyle w:val="null3"/>
      </w:pPr>
      <w:r>
        <w:rPr>
          <w:rFonts w:ascii="仿宋_GB2312" w:hAnsi="仿宋_GB2312" w:cs="仿宋_GB2312" w:eastAsia="仿宋_GB2312"/>
        </w:rPr>
        <w:t>3、税收缴纳证明：提供递交投标文件截止之日前一年内任意一个月的依法缴纳税收的相关凭据，凭据应有税务机关或代收机关的公章或业务专用章。依法免税或无须缴纳税收的投标供应商，应提供相应证明文件</w:t>
      </w:r>
    </w:p>
    <w:p>
      <w:pPr>
        <w:pStyle w:val="null3"/>
      </w:pPr>
      <w:r>
        <w:rPr>
          <w:rFonts w:ascii="仿宋_GB2312" w:hAnsi="仿宋_GB2312" w:cs="仿宋_GB2312" w:eastAsia="仿宋_GB2312"/>
        </w:rPr>
        <w:t>4、社会保障资金缴纳证明：提供递交投标文件截止之日前一年内任意一个月的社会保障资金缴存单据或社保机构开具的社会保险参保缴费情况证明。依法不需要缴纳社会保障资金的投标供应商应提供相关文件证明</w:t>
      </w:r>
    </w:p>
    <w:p>
      <w:pPr>
        <w:pStyle w:val="null3"/>
      </w:pPr>
      <w:r>
        <w:rPr>
          <w:rFonts w:ascii="仿宋_GB2312" w:hAnsi="仿宋_GB2312" w:cs="仿宋_GB2312" w:eastAsia="仿宋_GB2312"/>
        </w:rPr>
        <w:t>5、承诺书：提供具有履行本合同所必需的设备和专业技术能力的承诺</w:t>
      </w:r>
    </w:p>
    <w:p>
      <w:pPr>
        <w:pStyle w:val="null3"/>
      </w:pPr>
      <w:r>
        <w:rPr>
          <w:rFonts w:ascii="仿宋_GB2312" w:hAnsi="仿宋_GB2312" w:cs="仿宋_GB2312" w:eastAsia="仿宋_GB2312"/>
        </w:rPr>
        <w:t>6、书面声明：参加政府采购活动前3年内，在经营活动中没有重大违法记录的书面声明</w:t>
      </w:r>
    </w:p>
    <w:p>
      <w:pPr>
        <w:pStyle w:val="null3"/>
      </w:pPr>
      <w:r>
        <w:rPr>
          <w:rFonts w:ascii="仿宋_GB2312" w:hAnsi="仿宋_GB2312" w:cs="仿宋_GB2312" w:eastAsia="仿宋_GB2312"/>
        </w:rPr>
        <w:t>7、法定代表人身份证明书或法定代表人授权委托书：提供法定代表人/负责人授权书（附法定代表人/负责人、被授权人身份证复印件及被授权人近半年任意一个月社保缴纳证明或劳动合同。）（法定代表人/负责人直接参加投标，须提供法定代表人/负责人身份证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西安理工大学经办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029-61125884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陕西思迈融工程建设项目管理有限公司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陕西省西安市雁塔区南二环东段二环以南凯森盛世1号B座2606号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高雪娇、贾轩博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029-82295130、15002974213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开户名称：陕西思迈融工程建设项目管理有限公司</w:t>
            </w:r>
          </w:p>
          <w:p>
            <w:pPr>
              <w:pStyle w:val="null3"/>
            </w:pPr>
            <w:r>
              <w:rPr>
                <w:rFonts w:ascii="仿宋_GB2312" w:hAnsi="仿宋_GB2312" w:cs="仿宋_GB2312" w:eastAsia="仿宋_GB2312"/>
              </w:rPr>
              <w:t>开户银行：招商银行股份有限公司西安西影路支行</w:t>
            </w:r>
          </w:p>
          <w:p>
            <w:pPr>
              <w:pStyle w:val="null3"/>
            </w:pPr>
            <w:r>
              <w:rPr>
                <w:rFonts w:ascii="仿宋_GB2312" w:hAnsi="仿宋_GB2312" w:cs="仿宋_GB2312" w:eastAsia="仿宋_GB2312"/>
              </w:rPr>
              <w:t>银行账号：1299 0860 5410 801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项目服务期结束后无违约情形，缴纳的履约保证金无息退还。交纳形式为银行转账等非现金形式，供应商以银行、保险公司出具保函形式提交履约保证金的，采购单位不得拒收。（备注:项目编号+采购包号+项目名称） 2、收款账户 收款单位：西安理工大学 开户银行：中国银行西安金花南路支行 银行账号：102891574567</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代理服务费收费标准：代理项目金额80万元以下收取定额3000元；代理项目金额80万以上-400万以下，按照《招标代理服务收费管理暂行办法》（计价格[2002]1980 号）及（发改办价格[2011]534号）规定的计费标准*55%计取。中标单位在领取中标通知书前，须向采购代理机构一次性支付招标代理服务费；代理服务费以转账、电汇或现金等形式交纳。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陕西思迈融工程建设项目管理有限公司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陕西思迈融工程建设项目管理有限公司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陕西思迈融工程建设项目管理有限公司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符合招标文件及采购人要求，符合合同约定。</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陕西思迈融工程建设项目管理有限公司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陕西思迈融工程建设项目管理有限公司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陕西思迈融工程建设项目管理有限公司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联系人：高雪娇、贾轩博</w:t>
      </w:r>
    </w:p>
    <w:p>
      <w:pPr>
        <w:pStyle w:val="null3"/>
      </w:pPr>
      <w:r>
        <w:rPr>
          <w:rFonts w:ascii="仿宋_GB2312" w:hAnsi="仿宋_GB2312" w:cs="仿宋_GB2312" w:eastAsia="仿宋_GB2312"/>
        </w:rPr>
        <w:t>联系电话：029-82295130</w:t>
      </w:r>
    </w:p>
    <w:p>
      <w:pPr>
        <w:pStyle w:val="null3"/>
      </w:pPr>
      <w:r>
        <w:rPr>
          <w:rFonts w:ascii="仿宋_GB2312" w:hAnsi="仿宋_GB2312" w:cs="仿宋_GB2312" w:eastAsia="仿宋_GB2312"/>
        </w:rPr>
        <w:t>地址：陕西省西安市雁塔区南二环东段二环以南凯森盛世1号B座2606</w:t>
      </w:r>
    </w:p>
    <w:p>
      <w:pPr>
        <w:pStyle w:val="null3"/>
      </w:pPr>
      <w:r>
        <w:rPr>
          <w:rFonts w:ascii="仿宋_GB2312" w:hAnsi="仿宋_GB2312" w:cs="仿宋_GB2312" w:eastAsia="仿宋_GB2312"/>
        </w:rPr>
        <w:t>邮编：710043</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西安理工大学电液伺服长柱试验系统采购项目，电液伺服长柱试验系统主要由主机、静音伺服液压系统及测控系统组成，用于金属材料、非金属材料、建筑材料、大型结构件的压缩性能试验，通过增添拉伸夹具，可完成大型结构件的拉伸试验，增添弯曲试验装置，还可以完成大型结构件的三点弯曲、四点弯曲试验。试验系统能够精确实现试验力、位移、变形三种闭环控制方式，并且三种控制方式可以在试验过程中平滑转换，可以完成各种试验方法标准要求下的程序试验。试验系统不仅能够自动完成各类试验，做到自动采集、处理、存储试验数据，实时显示试验状态和曲线，还能够计算试验结果，求取特征值，并按标准要求的报告格式，打印试验报告。</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1,300,000.00</w:t>
      </w:r>
    </w:p>
    <w:p>
      <w:pPr>
        <w:pStyle w:val="null3"/>
      </w:pPr>
      <w:r>
        <w:rPr>
          <w:rFonts w:ascii="仿宋_GB2312" w:hAnsi="仿宋_GB2312" w:cs="仿宋_GB2312" w:eastAsia="仿宋_GB2312"/>
        </w:rPr>
        <w:t>采购包最高限价（元）: 1,300,000.00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电液伺服长柱试验系统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1,300,000.00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标的名称：电液伺服长柱试验系统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采购清单及产品数量</w:t>
            </w:r>
          </w:p>
          <w:tbl>
            <w:tblPr>
              <w:tblInd w:type="dxa" w:w="120"/>
              <w:tblBorders>
                <w:top w:val="none" w:color="000000" w:sz="4"/>
                <w:left w:val="none" w:color="000000" w:sz="4"/>
                <w:bottom w:val="none" w:color="000000" w:sz="4"/>
                <w:right w:val="none" w:color="000000" w:sz="4"/>
                <w:insideH w:val="none"/>
                <w:insideV w:val="none"/>
              </w:tblBorders>
            </w:tblPr>
            <w:tblGrid>
              <w:gridCol w:w="322"/>
              <w:gridCol w:w="1382"/>
              <w:gridCol w:w="849"/>
            </w:tblGrid>
            <w:tr>
              <w:tc>
                <w:tcPr>
                  <w:tcW w:type="dxa" w:w="3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13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货物名称</w:t>
                  </w:r>
                </w:p>
              </w:tc>
              <w:tc>
                <w:tcPr>
                  <w:tcW w:type="dxa" w:w="8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r>
            <w:tr>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系统主机</w:t>
                  </w:r>
                </w:p>
              </w:tc>
              <w:tc>
                <w:tcPr>
                  <w:tcW w:type="dxa" w:w="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r>
            <w:tr>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静音伺服液压系统</w:t>
                  </w:r>
                </w:p>
              </w:tc>
              <w:tc>
                <w:tcPr>
                  <w:tcW w:type="dxa" w:w="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r>
            <w:tr>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测控系统</w:t>
                  </w:r>
                </w:p>
              </w:tc>
              <w:tc>
                <w:tcPr>
                  <w:tcW w:type="dxa" w:w="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1"/>
              </w:rPr>
              <w:t>1、系统主机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1）主机框架：</w:t>
            </w:r>
          </w:p>
          <w:p>
            <w:pPr>
              <w:pStyle w:val="null3"/>
              <w:jc w:val="both"/>
            </w:pPr>
            <w:r>
              <w:rPr>
                <w:rFonts w:ascii="仿宋_GB2312" w:hAnsi="仿宋_GB2312" w:cs="仿宋_GB2312" w:eastAsia="仿宋_GB2312"/>
                <w:sz w:val="21"/>
              </w:rPr>
              <w:t>①采用油缸下置式（双向活塞）结构；</w:t>
            </w:r>
          </w:p>
          <w:p>
            <w:pPr>
              <w:pStyle w:val="null3"/>
              <w:jc w:val="both"/>
            </w:pPr>
            <w:r>
              <w:rPr>
                <w:rFonts w:ascii="仿宋_GB2312" w:hAnsi="仿宋_GB2312" w:cs="仿宋_GB2312" w:eastAsia="仿宋_GB2312"/>
                <w:sz w:val="21"/>
              </w:rPr>
              <w:t>②四立柱刚性框架结构，立柱为高精度丝杠，传动螺母与间隙消除装置。</w:t>
            </w:r>
          </w:p>
          <w:p>
            <w:pPr>
              <w:pStyle w:val="null3"/>
              <w:jc w:val="both"/>
            </w:pPr>
            <w:r>
              <w:rPr>
                <w:rFonts w:ascii="仿宋_GB2312" w:hAnsi="仿宋_GB2312" w:cs="仿宋_GB2312" w:eastAsia="仿宋_GB2312"/>
                <w:sz w:val="21"/>
              </w:rPr>
              <w:t>▲③四立柱净距离（X方向×Y方向）:≥1000mm×1000mm；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2）移动横梁：</w:t>
            </w:r>
          </w:p>
          <w:p>
            <w:pPr>
              <w:pStyle w:val="null3"/>
              <w:jc w:val="both"/>
            </w:pPr>
            <w:r>
              <w:rPr>
                <w:rFonts w:ascii="仿宋_GB2312" w:hAnsi="仿宋_GB2312" w:cs="仿宋_GB2312" w:eastAsia="仿宋_GB2312"/>
                <w:sz w:val="21"/>
              </w:rPr>
              <w:t>①上压板尺寸（长×宽×厚）≥1050mm×1050mm×175mm；</w:t>
            </w:r>
          </w:p>
          <w:p>
            <w:pPr>
              <w:pStyle w:val="null3"/>
              <w:jc w:val="both"/>
            </w:pPr>
            <w:r>
              <w:rPr>
                <w:rFonts w:ascii="仿宋_GB2312" w:hAnsi="仿宋_GB2312" w:cs="仿宋_GB2312" w:eastAsia="仿宋_GB2312"/>
                <w:sz w:val="21"/>
              </w:rPr>
              <w:t>▲②最大试验压力≥10000kN，配套拉伸装置</w:t>
            </w:r>
            <w:r>
              <w:rPr>
                <w:rFonts w:ascii="仿宋_GB2312" w:hAnsi="仿宋_GB2312" w:cs="仿宋_GB2312" w:eastAsia="仿宋_GB2312"/>
                <w:sz w:val="21"/>
              </w:rPr>
              <w:t>最大试验拉力</w:t>
            </w:r>
            <w:r>
              <w:rPr>
                <w:rFonts w:ascii="仿宋_GB2312" w:hAnsi="仿宋_GB2312" w:cs="仿宋_GB2312" w:eastAsia="仿宋_GB2312"/>
                <w:sz w:val="21"/>
              </w:rPr>
              <w:t>≥8000kN；</w:t>
            </w:r>
          </w:p>
          <w:p>
            <w:pPr>
              <w:pStyle w:val="null3"/>
              <w:jc w:val="both"/>
            </w:pPr>
            <w:r>
              <w:rPr>
                <w:rFonts w:ascii="仿宋_GB2312" w:hAnsi="仿宋_GB2312" w:cs="仿宋_GB2312" w:eastAsia="仿宋_GB2312"/>
                <w:sz w:val="21"/>
              </w:rPr>
              <w:t>▲③最大压缩空间≥4000mm；</w:t>
            </w:r>
          </w:p>
          <w:p>
            <w:pPr>
              <w:pStyle w:val="null3"/>
              <w:jc w:val="left"/>
            </w:pPr>
            <w:r>
              <w:rPr>
                <w:rFonts w:ascii="仿宋_GB2312" w:hAnsi="仿宋_GB2312" w:cs="仿宋_GB2312" w:eastAsia="仿宋_GB2312"/>
                <w:sz w:val="21"/>
              </w:rPr>
              <w:t>④横梁移动速度≥100mm/min；</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3）下压板：</w:t>
            </w:r>
          </w:p>
          <w:p>
            <w:pPr>
              <w:pStyle w:val="null3"/>
              <w:jc w:val="left"/>
            </w:pPr>
            <w:r>
              <w:rPr>
                <w:rFonts w:ascii="仿宋_GB2312" w:hAnsi="仿宋_GB2312" w:cs="仿宋_GB2312" w:eastAsia="仿宋_GB2312"/>
                <w:sz w:val="21"/>
              </w:rPr>
              <w:t>①电动小车式结构，轨道系统，水平移动行程≥1400mm；</w:t>
            </w:r>
          </w:p>
          <w:p>
            <w:pPr>
              <w:pStyle w:val="null3"/>
              <w:jc w:val="left"/>
            </w:pPr>
            <w:r>
              <w:rPr>
                <w:rFonts w:ascii="仿宋_GB2312" w:hAnsi="仿宋_GB2312" w:cs="仿宋_GB2312" w:eastAsia="仿宋_GB2312"/>
                <w:sz w:val="21"/>
              </w:rPr>
              <w:t>②压板尺寸（长×宽×厚）:≥1050mm×1050mm×175mm；最大试验压力≥10000kN，拉伸装置</w:t>
            </w:r>
            <w:r>
              <w:rPr>
                <w:rFonts w:ascii="仿宋_GB2312" w:hAnsi="仿宋_GB2312" w:cs="仿宋_GB2312" w:eastAsia="仿宋_GB2312"/>
                <w:sz w:val="21"/>
              </w:rPr>
              <w:t>最大试验拉力</w:t>
            </w:r>
            <w:r>
              <w:rPr>
                <w:rFonts w:ascii="仿宋_GB2312" w:hAnsi="仿宋_GB2312" w:cs="仿宋_GB2312" w:eastAsia="仿宋_GB2312"/>
                <w:sz w:val="21"/>
              </w:rPr>
              <w:t>≥8000kN；</w:t>
            </w:r>
          </w:p>
          <w:p>
            <w:pPr>
              <w:pStyle w:val="null3"/>
              <w:jc w:val="left"/>
            </w:pPr>
            <w:r>
              <w:rPr>
                <w:rFonts w:ascii="仿宋_GB2312" w:hAnsi="仿宋_GB2312" w:cs="仿宋_GB2312" w:eastAsia="仿宋_GB2312"/>
                <w:sz w:val="21"/>
              </w:rPr>
              <w:t>③四点弯曲装置：额定试验力≥4000kN、两支点净距≥4000mm，最大试验高度≥1200mm；整套装置应具备电动推送功能，无线遥控控制，在轨顶标高为室内地坪的轨道上能够以100～500mm/min速度行走并自动定位；两支点在最大间净距时分别承受最大试验力≥3000kN，抗弯座中心最大变形≤2mm；</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4）加载机构：</w:t>
            </w:r>
          </w:p>
          <w:p>
            <w:pPr>
              <w:pStyle w:val="null3"/>
              <w:jc w:val="left"/>
            </w:pPr>
            <w:r>
              <w:rPr>
                <w:rFonts w:ascii="仿宋_GB2312" w:hAnsi="仿宋_GB2312" w:cs="仿宋_GB2312" w:eastAsia="仿宋_GB2312"/>
                <w:sz w:val="21"/>
              </w:rPr>
              <w:t>①伺服双向作动器（油缸活塞副），活塞升降由液压驱动。</w:t>
            </w:r>
          </w:p>
          <w:p>
            <w:pPr>
              <w:pStyle w:val="null3"/>
              <w:jc w:val="left"/>
            </w:pPr>
            <w:r>
              <w:rPr>
                <w:rFonts w:ascii="仿宋_GB2312" w:hAnsi="仿宋_GB2312" w:cs="仿宋_GB2312" w:eastAsia="仿宋_GB2312"/>
                <w:sz w:val="21"/>
              </w:rPr>
              <w:t>▲②油缸最大行程:≥500mm；</w:t>
            </w:r>
          </w:p>
          <w:p>
            <w:pPr>
              <w:pStyle w:val="null3"/>
              <w:jc w:val="left"/>
            </w:pPr>
            <w:r>
              <w:rPr>
                <w:rFonts w:ascii="仿宋_GB2312" w:hAnsi="仿宋_GB2312" w:cs="仿宋_GB2312" w:eastAsia="仿宋_GB2312"/>
                <w:sz w:val="21"/>
              </w:rPr>
              <w:t>③防尘罩与密封结构，无液压泄漏；</w:t>
            </w:r>
          </w:p>
          <w:p>
            <w:pPr>
              <w:pStyle w:val="null3"/>
              <w:jc w:val="left"/>
            </w:pPr>
            <w:r>
              <w:rPr>
                <w:rFonts w:ascii="仿宋_GB2312" w:hAnsi="仿宋_GB2312" w:cs="仿宋_GB2312" w:eastAsia="仿宋_GB2312"/>
                <w:sz w:val="21"/>
              </w:rPr>
              <w:t>④多重安全保护机制：液压超压保护、活塞行程限位、横梁极限限位、紧急停机按钮等。</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1"/>
              </w:rPr>
              <w:t>2、静音伺服液压系统</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1）系统组成：集成式液压动力单元（以下简称“油源柜”），由液压泵站、油冷系统、油源控制模块、测控系统及工业级工控机一体化集成。</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人机交互界面</w:t>
            </w:r>
            <w:r>
              <w:rPr>
                <w:rFonts w:ascii="仿宋_GB2312" w:hAnsi="仿宋_GB2312" w:cs="仿宋_GB2312" w:eastAsia="仿宋_GB2312"/>
                <w:sz w:val="21"/>
              </w:rPr>
              <w:t>：</w:t>
            </w:r>
            <w:r>
              <w:rPr>
                <w:rFonts w:ascii="仿宋_GB2312" w:hAnsi="仿宋_GB2312" w:cs="仿宋_GB2312" w:eastAsia="仿宋_GB2312"/>
                <w:sz w:val="21"/>
              </w:rPr>
              <w:t>近程与远程观测，权限分级与数据加密。</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3）环保要求：</w:t>
            </w:r>
          </w:p>
          <w:p>
            <w:pPr>
              <w:pStyle w:val="null3"/>
              <w:jc w:val="left"/>
            </w:pPr>
            <w:r>
              <w:rPr>
                <w:rFonts w:ascii="仿宋_GB2312" w:hAnsi="仿宋_GB2312" w:cs="仿宋_GB2312" w:eastAsia="仿宋_GB2312"/>
                <w:sz w:val="21"/>
              </w:rPr>
              <w:t>①</w:t>
            </w:r>
            <w:r>
              <w:rPr>
                <w:rFonts w:ascii="仿宋_GB2312" w:hAnsi="仿宋_GB2312" w:cs="仿宋_GB2312" w:eastAsia="仿宋_GB2312"/>
                <w:sz w:val="21"/>
              </w:rPr>
              <w:t>液压元件、密封材料及冷却介质须符合《</w:t>
            </w:r>
            <w:r>
              <w:rPr>
                <w:rFonts w:ascii="仿宋_GB2312" w:hAnsi="仿宋_GB2312" w:cs="仿宋_GB2312" w:eastAsia="仿宋_GB2312"/>
                <w:sz w:val="21"/>
              </w:rPr>
              <w:t>GB/T 7935-2005 液压元件通用技术条件》基础要求，且不得含有铅、汞、镉等有害物质。</w:t>
            </w:r>
          </w:p>
          <w:p>
            <w:pPr>
              <w:pStyle w:val="null3"/>
              <w:jc w:val="left"/>
            </w:pPr>
            <w:r>
              <w:rPr>
                <w:rFonts w:ascii="仿宋_GB2312" w:hAnsi="仿宋_GB2312" w:cs="仿宋_GB2312" w:eastAsia="仿宋_GB2312"/>
                <w:sz w:val="21"/>
              </w:rPr>
              <w:t>②噪声控制：</w:t>
            </w:r>
            <w:r>
              <w:rPr>
                <w:rFonts w:ascii="仿宋_GB2312" w:hAnsi="仿宋_GB2312" w:cs="仿宋_GB2312" w:eastAsia="仿宋_GB2312"/>
                <w:sz w:val="21"/>
              </w:rPr>
              <w:t>设备在额定工况下</w:t>
            </w:r>
            <w:r>
              <w:rPr>
                <w:rFonts w:ascii="仿宋_GB2312" w:hAnsi="仿宋_GB2312" w:cs="仿宋_GB2312" w:eastAsia="仿宋_GB2312"/>
                <w:sz w:val="21"/>
              </w:rPr>
              <w:t>运行</w:t>
            </w:r>
            <w:r>
              <w:rPr>
                <w:rFonts w:ascii="仿宋_GB2312" w:hAnsi="仿宋_GB2312" w:cs="仿宋_GB2312" w:eastAsia="仿宋_GB2312"/>
                <w:sz w:val="21"/>
              </w:rPr>
              <w:t>时</w:t>
            </w:r>
            <w:r>
              <w:rPr>
                <w:rFonts w:ascii="仿宋_GB2312" w:hAnsi="仿宋_GB2312" w:cs="仿宋_GB2312" w:eastAsia="仿宋_GB2312"/>
                <w:sz w:val="21"/>
              </w:rPr>
              <w:t>，噪声声级</w:t>
            </w:r>
            <w:r>
              <w:rPr>
                <w:rFonts w:ascii="仿宋_GB2312" w:hAnsi="仿宋_GB2312" w:cs="仿宋_GB2312" w:eastAsia="仿宋_GB2312"/>
                <w:sz w:val="21"/>
              </w:rPr>
              <w:t>≤50</w:t>
            </w:r>
            <w:r>
              <w:rPr>
                <w:rFonts w:ascii="仿宋_GB2312" w:hAnsi="仿宋_GB2312" w:cs="仿宋_GB2312" w:eastAsia="仿宋_GB2312"/>
                <w:sz w:val="21"/>
              </w:rPr>
              <w:t>dB</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4）显示控制器配置要求：</w:t>
            </w:r>
          </w:p>
          <w:p>
            <w:pPr>
              <w:pStyle w:val="null3"/>
              <w:jc w:val="left"/>
            </w:pPr>
            <w:r>
              <w:rPr>
                <w:rFonts w:ascii="仿宋_GB2312" w:hAnsi="仿宋_GB2312" w:cs="仿宋_GB2312" w:eastAsia="仿宋_GB2312"/>
                <w:sz w:val="21"/>
              </w:rPr>
              <w:t>①工业级处理器</w:t>
            </w:r>
            <w:r>
              <w:rPr>
                <w:rFonts w:ascii="仿宋_GB2312" w:hAnsi="仿宋_GB2312" w:cs="仿宋_GB2312" w:eastAsia="仿宋_GB2312"/>
                <w:sz w:val="21"/>
              </w:rPr>
              <w:t>，</w:t>
            </w:r>
            <w:r>
              <w:rPr>
                <w:rFonts w:ascii="仿宋_GB2312" w:hAnsi="仿宋_GB2312" w:cs="仿宋_GB2312" w:eastAsia="仿宋_GB2312"/>
                <w:sz w:val="21"/>
              </w:rPr>
              <w:t>内存</w:t>
            </w:r>
            <w:r>
              <w:rPr>
                <w:rFonts w:ascii="仿宋_GB2312" w:hAnsi="仿宋_GB2312" w:cs="仿宋_GB2312" w:eastAsia="仿宋_GB2312"/>
                <w:sz w:val="21"/>
              </w:rPr>
              <w:t>≥8GB、固态硬盘（SSD）容量≥500GB</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②支持7×24小时连续运行，支持后续功能扩展与系统升级。</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5）控制方式：伺服闭</w:t>
            </w:r>
            <w:r>
              <w:rPr>
                <w:rFonts w:ascii="仿宋_GB2312" w:hAnsi="仿宋_GB2312" w:cs="仿宋_GB2312" w:eastAsia="仿宋_GB2312"/>
                <w:sz w:val="21"/>
              </w:rPr>
              <w:t>环控制架构，对压力、流量、位移</w:t>
            </w:r>
            <w:r>
              <w:rPr>
                <w:rFonts w:ascii="仿宋_GB2312" w:hAnsi="仿宋_GB2312" w:cs="仿宋_GB2312" w:eastAsia="仿宋_GB2312"/>
                <w:sz w:val="21"/>
              </w:rPr>
              <w:t>三参量</w:t>
            </w:r>
            <w:r>
              <w:rPr>
                <w:rFonts w:ascii="仿宋_GB2312" w:hAnsi="仿宋_GB2312" w:cs="仿宋_GB2312" w:eastAsia="仿宋_GB2312"/>
                <w:sz w:val="21"/>
              </w:rPr>
              <w:t>高精度动态调节；</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6）执行单元：高响应伺服执行机构与精密液压控制阀组，毫秒级响应能力，噪声声级≤50</w:t>
            </w:r>
            <w:r>
              <w:rPr>
                <w:rFonts w:ascii="仿宋_GB2312" w:hAnsi="仿宋_GB2312" w:cs="仿宋_GB2312" w:eastAsia="仿宋_GB2312"/>
                <w:sz w:val="21"/>
              </w:rPr>
              <w:t>dB</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7）动力配置：双泵协同供油，独立控制与自动切换功能；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8）空载性能：试验空间调整响应时间≤3秒。</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9）加载性能</w:t>
            </w:r>
            <w:r>
              <w:rPr>
                <w:rFonts w:ascii="仿宋_GB2312" w:hAnsi="仿宋_GB2312" w:cs="仿宋_GB2312" w:eastAsia="仿宋_GB2312"/>
                <w:sz w:val="21"/>
              </w:rPr>
              <w:t>：压力</w:t>
            </w:r>
            <w:r>
              <w:rPr>
                <w:rFonts w:ascii="仿宋_GB2312" w:hAnsi="仿宋_GB2312" w:cs="仿宋_GB2312" w:eastAsia="仿宋_GB2312"/>
                <w:sz w:val="21"/>
              </w:rPr>
              <w:t>与</w:t>
            </w:r>
            <w:r>
              <w:rPr>
                <w:rFonts w:ascii="仿宋_GB2312" w:hAnsi="仿宋_GB2312" w:cs="仿宋_GB2312" w:eastAsia="仿宋_GB2312"/>
                <w:sz w:val="21"/>
              </w:rPr>
              <w:t>流量高精度随动控制，</w:t>
            </w:r>
            <w:r>
              <w:rPr>
                <w:rFonts w:ascii="仿宋_GB2312" w:hAnsi="仿宋_GB2312" w:cs="仿宋_GB2312" w:eastAsia="仿宋_GB2312"/>
                <w:sz w:val="21"/>
              </w:rPr>
              <w:t>稳态</w:t>
            </w:r>
            <w:r>
              <w:rPr>
                <w:rFonts w:ascii="仿宋_GB2312" w:hAnsi="仿宋_GB2312" w:cs="仿宋_GB2312" w:eastAsia="仿宋_GB2312"/>
                <w:sz w:val="21"/>
              </w:rPr>
              <w:t>波动</w:t>
            </w:r>
            <w:r>
              <w:rPr>
                <w:rFonts w:ascii="仿宋_GB2312" w:hAnsi="仿宋_GB2312" w:cs="仿宋_GB2312" w:eastAsia="仿宋_GB2312"/>
                <w:sz w:val="21"/>
              </w:rPr>
              <w:t>≤±0.5%FS；</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10）监控能力：</w:t>
            </w:r>
            <w:r>
              <w:rPr>
                <w:rFonts w:ascii="仿宋_GB2312" w:hAnsi="仿宋_GB2312" w:cs="仿宋_GB2312" w:eastAsia="仿宋_GB2312"/>
                <w:sz w:val="21"/>
              </w:rPr>
              <w:t>实时</w:t>
            </w:r>
            <w:r>
              <w:rPr>
                <w:rFonts w:ascii="仿宋_GB2312" w:hAnsi="仿宋_GB2312" w:cs="仿宋_GB2312" w:eastAsia="仿宋_GB2312"/>
                <w:sz w:val="21"/>
              </w:rPr>
              <w:t>采集并</w:t>
            </w:r>
            <w:r>
              <w:rPr>
                <w:rFonts w:ascii="仿宋_GB2312" w:hAnsi="仿宋_GB2312" w:cs="仿宋_GB2312" w:eastAsia="仿宋_GB2312"/>
                <w:sz w:val="21"/>
              </w:rPr>
              <w:t>同步</w:t>
            </w:r>
            <w:r>
              <w:rPr>
                <w:rFonts w:ascii="仿宋_GB2312" w:hAnsi="仿宋_GB2312" w:cs="仿宋_GB2312" w:eastAsia="仿宋_GB2312"/>
                <w:sz w:val="21"/>
              </w:rPr>
              <w:t>显示负</w:t>
            </w:r>
            <w:r>
              <w:rPr>
                <w:rFonts w:ascii="仿宋_GB2312" w:hAnsi="仿宋_GB2312" w:cs="仿宋_GB2312" w:eastAsia="仿宋_GB2312"/>
                <w:sz w:val="21"/>
              </w:rPr>
              <w:t>荷、应力、位移、油温、油压等关键参数，数据记录、异常报警、趋势分析，全</w:t>
            </w:r>
            <w:r>
              <w:rPr>
                <w:rFonts w:ascii="仿宋_GB2312" w:hAnsi="仿宋_GB2312" w:cs="仿宋_GB2312" w:eastAsia="仿宋_GB2312"/>
                <w:sz w:val="21"/>
              </w:rPr>
              <w:t>程</w:t>
            </w:r>
            <w:r>
              <w:rPr>
                <w:rFonts w:ascii="仿宋_GB2312" w:hAnsi="仿宋_GB2312" w:cs="仿宋_GB2312" w:eastAsia="仿宋_GB2312"/>
                <w:sz w:val="21"/>
              </w:rPr>
              <w:t>无人工干预</w:t>
            </w:r>
            <w:r>
              <w:rPr>
                <w:rFonts w:ascii="仿宋_GB2312" w:hAnsi="仿宋_GB2312" w:cs="仿宋_GB2312" w:eastAsia="仿宋_GB2312"/>
                <w:sz w:val="21"/>
              </w:rPr>
              <w:t>全自动</w:t>
            </w:r>
            <w:r>
              <w:rPr>
                <w:rFonts w:ascii="仿宋_GB2312" w:hAnsi="仿宋_GB2312" w:cs="仿宋_GB2312" w:eastAsia="仿宋_GB2312"/>
                <w:sz w:val="21"/>
              </w:rPr>
              <w:t>试验流程。</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11）供油方式:集中供油，系统工作压力范围0-25MPa，远程设定与调节。</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12）主机电源要求:380V±10%，50HZ；兼容工业三相交流电源，过压、欠压、缺相自动保护。</w:t>
            </w:r>
          </w:p>
          <w:p>
            <w:pPr>
              <w:pStyle w:val="null3"/>
            </w:pPr>
            <w:r>
              <w:rPr>
                <w:rFonts w:ascii="仿宋_GB2312" w:hAnsi="仿宋_GB2312" w:cs="仿宋_GB2312" w:eastAsia="仿宋_GB2312"/>
                <w:sz w:val="21"/>
              </w:rPr>
              <w:t>（</w:t>
            </w:r>
            <w:r>
              <w:rPr>
                <w:rFonts w:ascii="仿宋_GB2312" w:hAnsi="仿宋_GB2312" w:cs="仿宋_GB2312" w:eastAsia="仿宋_GB2312"/>
                <w:sz w:val="21"/>
              </w:rPr>
              <w:t>13）环境要求：</w:t>
            </w:r>
            <w:r>
              <w:rPr>
                <w:rFonts w:ascii="仿宋_GB2312" w:hAnsi="仿宋_GB2312" w:cs="仿宋_GB2312" w:eastAsia="仿宋_GB2312"/>
                <w:sz w:val="21"/>
              </w:rPr>
              <w:t>工作温度</w:t>
            </w:r>
            <w:r>
              <w:rPr>
                <w:rFonts w:ascii="仿宋_GB2312" w:hAnsi="仿宋_GB2312" w:cs="仿宋_GB2312" w:eastAsia="仿宋_GB2312"/>
                <w:sz w:val="21"/>
              </w:rPr>
              <w:t>20-25℃，相对湿度</w:t>
            </w:r>
            <w:r>
              <w:rPr>
                <w:rFonts w:ascii="仿宋_GB2312" w:hAnsi="仿宋_GB2312" w:cs="仿宋_GB2312" w:eastAsia="仿宋_GB2312"/>
                <w:sz w:val="21"/>
              </w:rPr>
              <w:t>≤</w:t>
            </w:r>
            <w:r>
              <w:rPr>
                <w:rFonts w:ascii="仿宋_GB2312" w:hAnsi="仿宋_GB2312" w:cs="仿宋_GB2312" w:eastAsia="仿宋_GB2312"/>
                <w:sz w:val="21"/>
              </w:rPr>
              <w:t>80%</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sz w:val="21"/>
              </w:rPr>
              <w:t>3、测控系统</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1）控制器：</w:t>
            </w:r>
          </w:p>
          <w:p>
            <w:pPr>
              <w:pStyle w:val="null3"/>
              <w:jc w:val="left"/>
            </w:pPr>
            <w:r>
              <w:rPr>
                <w:rFonts w:ascii="仿宋_GB2312" w:hAnsi="仿宋_GB2312" w:cs="仿宋_GB2312" w:eastAsia="仿宋_GB2312"/>
                <w:sz w:val="21"/>
              </w:rPr>
              <w:t>①</w:t>
            </w:r>
            <w:r>
              <w:rPr>
                <w:rFonts w:ascii="仿宋_GB2312" w:hAnsi="仿宋_GB2312" w:cs="仿宋_GB2312" w:eastAsia="仿宋_GB2312"/>
                <w:sz w:val="21"/>
              </w:rPr>
              <w:t>系统集成能力：一体化集成</w:t>
            </w:r>
            <w:r>
              <w:rPr>
                <w:rFonts w:ascii="仿宋_GB2312" w:hAnsi="仿宋_GB2312" w:cs="仿宋_GB2312" w:eastAsia="仿宋_GB2312"/>
                <w:sz w:val="21"/>
              </w:rPr>
              <w:t>数据采集、数据处理与过程控制功能，支持电子式试验机及电液伺服试验机的兼容控制</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②</w:t>
            </w:r>
            <w:r>
              <w:rPr>
                <w:rFonts w:ascii="仿宋_GB2312" w:hAnsi="仿宋_GB2312" w:cs="仿宋_GB2312" w:eastAsia="仿宋_GB2312"/>
                <w:sz w:val="21"/>
              </w:rPr>
              <w:t>多通道闭环控制：同时</w:t>
            </w:r>
            <w:r>
              <w:rPr>
                <w:rFonts w:ascii="仿宋_GB2312" w:hAnsi="仿宋_GB2312" w:cs="仿宋_GB2312" w:eastAsia="仿宋_GB2312"/>
                <w:sz w:val="21"/>
              </w:rPr>
              <w:t>实现试验力、位移、变形</w:t>
            </w:r>
            <w:r>
              <w:rPr>
                <w:rFonts w:ascii="仿宋_GB2312" w:hAnsi="仿宋_GB2312" w:cs="仿宋_GB2312" w:eastAsia="仿宋_GB2312"/>
                <w:sz w:val="21"/>
              </w:rPr>
              <w:t>三通道</w:t>
            </w:r>
            <w:r>
              <w:rPr>
                <w:rFonts w:ascii="仿宋_GB2312" w:hAnsi="仿宋_GB2312" w:cs="仿宋_GB2312" w:eastAsia="仿宋_GB2312"/>
                <w:sz w:val="21"/>
              </w:rPr>
              <w:t>闭环控制，</w:t>
            </w:r>
            <w:r>
              <w:rPr>
                <w:rFonts w:ascii="仿宋_GB2312" w:hAnsi="仿宋_GB2312" w:cs="仿宋_GB2312" w:eastAsia="仿宋_GB2312"/>
                <w:sz w:val="21"/>
              </w:rPr>
              <w:t>控制模式切换过程无超调、无震荡，确保试验曲线连续性与数据完整性。</w:t>
            </w:r>
          </w:p>
          <w:p>
            <w:pPr>
              <w:pStyle w:val="null3"/>
              <w:jc w:val="left"/>
            </w:pPr>
            <w:r>
              <w:rPr>
                <w:rFonts w:ascii="仿宋_GB2312" w:hAnsi="仿宋_GB2312" w:cs="仿宋_GB2312" w:eastAsia="仿宋_GB2312"/>
                <w:sz w:val="21"/>
              </w:rPr>
              <w:t>③</w:t>
            </w:r>
            <w:r>
              <w:rPr>
                <w:rFonts w:ascii="仿宋_GB2312" w:hAnsi="仿宋_GB2312" w:cs="仿宋_GB2312" w:eastAsia="仿宋_GB2312"/>
                <w:sz w:val="21"/>
              </w:rPr>
              <w:t>核心控制单元</w:t>
            </w:r>
            <w:r>
              <w:rPr>
                <w:rFonts w:ascii="仿宋_GB2312" w:hAnsi="仿宋_GB2312" w:cs="仿宋_GB2312" w:eastAsia="仿宋_GB2312"/>
                <w:sz w:val="21"/>
              </w:rPr>
              <w:t>：</w:t>
            </w:r>
            <w:r>
              <w:rPr>
                <w:rFonts w:ascii="仿宋_GB2312" w:hAnsi="仿宋_GB2312" w:cs="仿宋_GB2312" w:eastAsia="仿宋_GB2312"/>
                <w:sz w:val="21"/>
              </w:rPr>
              <w:t>嵌入式高性能处理器与可编程逻辑器件</w:t>
            </w:r>
            <w:r>
              <w:rPr>
                <w:rFonts w:ascii="仿宋_GB2312" w:hAnsi="仿宋_GB2312" w:cs="仿宋_GB2312" w:eastAsia="仿宋_GB2312"/>
                <w:sz w:val="21"/>
              </w:rPr>
              <w:t>架构</w:t>
            </w:r>
            <w:r>
              <w:rPr>
                <w:rFonts w:ascii="仿宋_GB2312" w:hAnsi="仿宋_GB2312" w:cs="仿宋_GB2312" w:eastAsia="仿宋_GB2312"/>
                <w:sz w:val="21"/>
              </w:rPr>
              <w:t>，</w:t>
            </w:r>
            <w:r>
              <w:rPr>
                <w:rFonts w:ascii="仿宋_GB2312" w:hAnsi="仿宋_GB2312" w:cs="仿宋_GB2312" w:eastAsia="仿宋_GB2312"/>
                <w:sz w:val="21"/>
              </w:rPr>
              <w:t>集成</w:t>
            </w:r>
            <w:r>
              <w:rPr>
                <w:rFonts w:ascii="仿宋_GB2312" w:hAnsi="仿宋_GB2312" w:cs="仿宋_GB2312" w:eastAsia="仿宋_GB2312"/>
                <w:sz w:val="21"/>
              </w:rPr>
              <w:t>数字信号处理功能，实时运算周期</w:t>
            </w: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μs</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④独立运行能力</w:t>
            </w:r>
            <w:r>
              <w:rPr>
                <w:rFonts w:ascii="仿宋_GB2312" w:hAnsi="仿宋_GB2312" w:cs="仿宋_GB2312" w:eastAsia="仿宋_GB2312"/>
                <w:sz w:val="21"/>
              </w:rPr>
              <w:t>：控制单元完全自主运行能力，无需依赖外部</w:t>
            </w:r>
            <w:r>
              <w:rPr>
                <w:rFonts w:ascii="仿宋_GB2312" w:hAnsi="仿宋_GB2312" w:cs="仿宋_GB2312" w:eastAsia="仿宋_GB2312"/>
                <w:sz w:val="21"/>
              </w:rPr>
              <w:t>控制器</w:t>
            </w:r>
            <w:r>
              <w:rPr>
                <w:rFonts w:ascii="仿宋_GB2312" w:hAnsi="仿宋_GB2312" w:cs="仿宋_GB2312" w:eastAsia="仿宋_GB2312"/>
                <w:sz w:val="21"/>
              </w:rPr>
              <w:t>即可完成试验流程启动、参数设定、数据记录、异常停机及结果输出，支持本地存储与</w:t>
            </w:r>
            <w:r>
              <w:rPr>
                <w:rFonts w:ascii="仿宋_GB2312" w:hAnsi="仿宋_GB2312" w:cs="仿宋_GB2312" w:eastAsia="仿宋_GB2312"/>
                <w:sz w:val="21"/>
              </w:rPr>
              <w:t>USB导出。</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2）测量控制软件；</w:t>
            </w:r>
          </w:p>
          <w:p>
            <w:pPr>
              <w:pStyle w:val="null3"/>
              <w:jc w:val="left"/>
            </w:pPr>
            <w:r>
              <w:rPr>
                <w:rFonts w:ascii="仿宋_GB2312" w:hAnsi="仿宋_GB2312" w:cs="仿宋_GB2312" w:eastAsia="仿宋_GB2312"/>
                <w:sz w:val="21"/>
              </w:rPr>
              <w:t>①系统在</w:t>
            </w:r>
            <w:r>
              <w:rPr>
                <w:rFonts w:ascii="仿宋_GB2312" w:hAnsi="仿宋_GB2312" w:cs="仿宋_GB2312" w:eastAsia="仿宋_GB2312"/>
                <w:sz w:val="21"/>
              </w:rPr>
              <w:t>多</w:t>
            </w:r>
            <w:r>
              <w:rPr>
                <w:rFonts w:ascii="仿宋_GB2312" w:hAnsi="仿宋_GB2312" w:cs="仿宋_GB2312" w:eastAsia="仿宋_GB2312"/>
                <w:sz w:val="21"/>
              </w:rPr>
              <w:t>环境下稳定运行，不依赖特定开发语言环境，</w:t>
            </w:r>
            <w:r>
              <w:rPr>
                <w:rFonts w:ascii="仿宋_GB2312" w:hAnsi="仿宋_GB2312" w:cs="仿宋_GB2312" w:eastAsia="仿宋_GB2312"/>
                <w:sz w:val="21"/>
              </w:rPr>
              <w:t>具备</w:t>
            </w:r>
            <w:r>
              <w:rPr>
                <w:rFonts w:ascii="仿宋_GB2312" w:hAnsi="仿宋_GB2312" w:cs="仿宋_GB2312" w:eastAsia="仿宋_GB2312"/>
                <w:sz w:val="21"/>
              </w:rPr>
              <w:t>跨平台部署能力。</w:t>
            </w:r>
          </w:p>
          <w:p>
            <w:pPr>
              <w:pStyle w:val="null3"/>
              <w:jc w:val="left"/>
            </w:pPr>
            <w:r>
              <w:rPr>
                <w:rFonts w:ascii="仿宋_GB2312" w:hAnsi="仿宋_GB2312" w:cs="仿宋_GB2312" w:eastAsia="仿宋_GB2312"/>
                <w:sz w:val="21"/>
              </w:rPr>
              <w:t>②同步实时显示“力-时间”，“位移-时间”，“力-位移”三组试验曲线，任意切换、缩放、平移、多屏协同显示；</w:t>
            </w:r>
          </w:p>
          <w:p>
            <w:pPr>
              <w:pStyle w:val="null3"/>
              <w:jc w:val="left"/>
            </w:pPr>
            <w:r>
              <w:rPr>
                <w:rFonts w:ascii="仿宋_GB2312" w:hAnsi="仿宋_GB2312" w:cs="仿宋_GB2312" w:eastAsia="仿宋_GB2312"/>
                <w:sz w:val="21"/>
              </w:rPr>
              <w:t>③</w:t>
            </w:r>
            <w:r>
              <w:rPr>
                <w:rFonts w:ascii="仿宋_GB2312" w:hAnsi="仿宋_GB2312" w:cs="仿宋_GB2312" w:eastAsia="仿宋_GB2312"/>
                <w:sz w:val="21"/>
              </w:rPr>
              <w:t>试验结束</w:t>
            </w:r>
            <w:r>
              <w:rPr>
                <w:rFonts w:ascii="仿宋_GB2312" w:hAnsi="仿宋_GB2312" w:cs="仿宋_GB2312" w:eastAsia="仿宋_GB2312"/>
                <w:sz w:val="21"/>
              </w:rPr>
              <w:t>时</w:t>
            </w:r>
            <w:r>
              <w:rPr>
                <w:rFonts w:ascii="仿宋_GB2312" w:hAnsi="仿宋_GB2312" w:cs="仿宋_GB2312" w:eastAsia="仿宋_GB2312"/>
                <w:sz w:val="21"/>
              </w:rPr>
              <w:t>系统自动停止加载并触发执行机构回零，设置自动复位功能；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3）数据接口与性能指标：</w:t>
            </w:r>
          </w:p>
          <w:p>
            <w:pPr>
              <w:pStyle w:val="null3"/>
              <w:jc w:val="left"/>
            </w:pPr>
            <w:r>
              <w:rPr>
                <w:rFonts w:ascii="仿宋_GB2312" w:hAnsi="仿宋_GB2312" w:cs="仿宋_GB2312" w:eastAsia="仿宋_GB2312"/>
                <w:sz w:val="21"/>
              </w:rPr>
              <w:t>①试验力测量范围:2%—100%；测力方式：油压传感器</w:t>
            </w:r>
          </w:p>
          <w:p>
            <w:pPr>
              <w:pStyle w:val="null3"/>
              <w:jc w:val="left"/>
            </w:pPr>
            <w:r>
              <w:rPr>
                <w:rFonts w:ascii="仿宋_GB2312" w:hAnsi="仿宋_GB2312" w:cs="仿宋_GB2312" w:eastAsia="仿宋_GB2312"/>
                <w:sz w:val="21"/>
              </w:rPr>
              <w:t>②示值精度:≤±0.5%；</w:t>
            </w:r>
          </w:p>
          <w:p>
            <w:pPr>
              <w:pStyle w:val="null3"/>
              <w:jc w:val="left"/>
            </w:pPr>
            <w:r>
              <w:rPr>
                <w:rFonts w:ascii="仿宋_GB2312" w:hAnsi="仿宋_GB2312" w:cs="仿宋_GB2312" w:eastAsia="仿宋_GB2312"/>
                <w:sz w:val="21"/>
              </w:rPr>
              <w:t>▲③试验力分辨率:±1/1000000</w:t>
            </w:r>
            <w:r>
              <w:rPr>
                <w:rFonts w:ascii="仿宋_GB2312" w:hAnsi="仿宋_GB2312" w:cs="仿宋_GB2312" w:eastAsia="仿宋_GB2312"/>
                <w:sz w:val="21"/>
                <w:b/>
              </w:rPr>
              <w:t>（投标文件中需提供带</w:t>
            </w:r>
            <w:r>
              <w:rPr>
                <w:rFonts w:ascii="仿宋_GB2312" w:hAnsi="仿宋_GB2312" w:cs="仿宋_GB2312" w:eastAsia="仿宋_GB2312"/>
                <w:sz w:val="21"/>
                <w:b/>
              </w:rPr>
              <w:t>CMA或CNAS认证的控制器检测报告扫描件）</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▲④单通道采样频率:≥5000HZ</w:t>
            </w:r>
            <w:r>
              <w:rPr>
                <w:rFonts w:ascii="仿宋_GB2312" w:hAnsi="仿宋_GB2312" w:cs="仿宋_GB2312" w:eastAsia="仿宋_GB2312"/>
                <w:sz w:val="21"/>
                <w:b/>
              </w:rPr>
              <w:t>（投标文件中需提供带</w:t>
            </w:r>
            <w:r>
              <w:rPr>
                <w:rFonts w:ascii="仿宋_GB2312" w:hAnsi="仿宋_GB2312" w:cs="仿宋_GB2312" w:eastAsia="仿宋_GB2312"/>
                <w:sz w:val="21"/>
                <w:b/>
              </w:rPr>
              <w:t>CMA或CNAS认证的控制器检测报告扫描件）</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⑤接口形式:USB3.2接口；</w:t>
            </w:r>
          </w:p>
          <w:p>
            <w:pPr>
              <w:pStyle w:val="null3"/>
              <w:jc w:val="left"/>
            </w:pPr>
            <w:r>
              <w:rPr>
                <w:rFonts w:ascii="仿宋_GB2312" w:hAnsi="仿宋_GB2312" w:cs="仿宋_GB2312" w:eastAsia="仿宋_GB2312"/>
                <w:sz w:val="21"/>
              </w:rPr>
              <w:t>⑥AD转换精度:≥24位；</w:t>
            </w:r>
          </w:p>
          <w:p>
            <w:pPr>
              <w:pStyle w:val="null3"/>
              <w:jc w:val="left"/>
            </w:pPr>
            <w:r>
              <w:rPr>
                <w:rFonts w:ascii="仿宋_GB2312" w:hAnsi="仿宋_GB2312" w:cs="仿宋_GB2312" w:eastAsia="仿宋_GB2312"/>
                <w:sz w:val="21"/>
              </w:rPr>
              <w:t>⑦失调温漂:≤5nV/℃；</w:t>
            </w:r>
          </w:p>
          <w:p>
            <w:pPr>
              <w:pStyle w:val="null3"/>
              <w:jc w:val="left"/>
            </w:pPr>
            <w:r>
              <w:rPr>
                <w:rFonts w:ascii="仿宋_GB2312" w:hAnsi="仿宋_GB2312" w:cs="仿宋_GB2312" w:eastAsia="仿宋_GB2312"/>
                <w:sz w:val="21"/>
              </w:rPr>
              <w:t>⑧数据实时显示分辨率:≥480×272；</w:t>
            </w:r>
          </w:p>
          <w:p>
            <w:pPr>
              <w:pStyle w:val="null3"/>
              <w:jc w:val="left"/>
            </w:pPr>
            <w:r>
              <w:rPr>
                <w:rFonts w:ascii="仿宋_GB2312" w:hAnsi="仿宋_GB2312" w:cs="仿宋_GB2312" w:eastAsia="仿宋_GB2312"/>
                <w:sz w:val="21"/>
              </w:rPr>
              <w:t>⑨采集控制方式:独立采集控制与</w:t>
            </w:r>
            <w:r>
              <w:rPr>
                <w:rFonts w:ascii="仿宋_GB2312" w:hAnsi="仿宋_GB2312" w:cs="仿宋_GB2312" w:eastAsia="仿宋_GB2312"/>
                <w:sz w:val="21"/>
              </w:rPr>
              <w:t>终端</w:t>
            </w:r>
            <w:r>
              <w:rPr>
                <w:rFonts w:ascii="仿宋_GB2312" w:hAnsi="仿宋_GB2312" w:cs="仿宋_GB2312" w:eastAsia="仿宋_GB2312"/>
                <w:sz w:val="21"/>
              </w:rPr>
              <w:t>采集控制双模式；</w:t>
            </w:r>
          </w:p>
          <w:p>
            <w:pPr>
              <w:pStyle w:val="null3"/>
            </w:pPr>
            <w:r>
              <w:rPr>
                <w:rFonts w:ascii="仿宋_GB2312" w:hAnsi="仿宋_GB2312" w:cs="仿宋_GB2312" w:eastAsia="仿宋_GB2312"/>
                <w:sz w:val="21"/>
              </w:rPr>
              <w:t>⑩控制速度精度设定值:≤1%</w:t>
            </w:r>
            <w:r>
              <w:rPr>
                <w:rFonts w:ascii="仿宋_GB2312" w:hAnsi="仿宋_GB2312" w:cs="仿宋_GB2312" w:eastAsia="仿宋_GB2312"/>
                <w:sz w:val="21"/>
              </w:rPr>
              <w:t>。</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接采购人通知后60个日历日完成供货。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西安理工大学金花校区结构大厅</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设备运抵采购人指定地点并经采购人初步查验无误</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设备安装调试完成，经采购人验收合格并签署《验收合格报告》后，供应商开具全额合法有效的增值税专用发票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招标文件、投标文件及技术澄清文件（函）；国家/行业标准、规范。（2）验收条件：①供应商已按照合同规定提供了全部产品及完整的技术资料。②所供货物符合招标文件和投标文件技术规格要求，性能满足要求。③所供货物具备产品合格证。（3）验收标准：供应商按合同约定完成全部设备交付、安装调试并自检合格后，应向采购人提交书面验收申请及完整验收资料。采购人收到合格验收资料后，组织验收。若设备验收不合格，供应商应在收到采购人书面通知后5日内进行整改，并申请采购人复验。若供应商未在规定期限内完成整改或拒绝整改，视为供应商根本违约，采购人有权直接解除合同、要求退货并追究供应商违约责任；若复验仍不合格，采购人有权选择单方解除合同、要求退货，并要求供应商赔偿因此造成的全部损失。采购人也有权选择要求供应商更换合格设备，由此产生的所有费用由供应商承担，且更换后的设备质保期自新设备验收合格之日起重新计算。（4）验收流程：①到货初检（采购人、供应商共同参与）：检查外包装完整性、运输损伤情况；核对货物型号、数量、规格是否与合同一致；检查随机文件（合格证、说明书、保修卡等）。②性能测试验收（关键指标实测）：关键参数与投标文件承诺值对比，符合文件相关规定。③最终验收：签署《验收合格报告》，产品保修期自最终验收合格之日起算，由供应商提供产品保修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包装标准：供应商提供产品及相关快递服务的包装要求，按照《商品包装政府采购需求标准（试行）》、《快递包装政府采购需求标准（试行）》执行，确保防潮、防震、防锈蚀、防碎；包装箱外应清晰标明设备名称、编号、重量、尺寸及防雨、易碎、向上等标识；（2）运输方式：供应商自主选择，须购买全程运输保险，保证按期交付。（3）运输责任：运输由供应商负责，运杂费已包含在合同总价内。包括从货物供应地点运送至交付地点所含的运输费、装卸费、仓储费、保险费等；（4）存放与保管：货物到达采购人指定地点后，供应商应按有关技术规程和采购人要求进行存放和保管。</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要求：质保期2年（自验收合格出具验收报告之日起算）。质保期内出现任何非人为故意损坏的质量问题，由供应商包换或包退，并承担调换或退货的全部费用。①质量标准：供应商的产品必须为全新未使用过的、来源合法，符合国家行业质量标准，并无任何瑕疵；供应商应按配置清单要求提供原装产品，除人为因素损坏外，对该产品实行三包（即包修、包退、包换），及时提供所有设备正常使用所需的备品备件，且供应商维修所更换的配件和备品备件均为原设备厂家生产；②不符约定处理：如交付品种、型号、规格不符合同约定的，由供应商负责退换，由此产生的一切费用及给采购人造成的相关损失由供应商全部承担并赔偿相应损失；③不能修理或调换：如不能修理或者不能调换的，按不能交货处理，因此给采购人造成的所有经济损失供应商应予全额赔偿；④质保服务：保修期内由供应商提供质保，采购人报修后2小时内供应商必须响应，48小时内解决问题，否则将依据有关法律、法规进行追偿；若供应商未按时响应或维修后仍无法正常使用，采购人有权委托第三方维修，产生的费用从履约保证金或相关应付款项中抵扣，不足部分由供应商承担。在设备使用年限或双方另行商定的期限内，供应商应持续提供软件升级、技术咨询等支持服务。⑤瑕疵责任：供应商提供产品应无任何瑕疵，符合国际、国内相关标准。如在使用过程中本产品存在隐蔽瑕疵造成任何事故而引发的纠纷，由供应商全额负责赔偿，并为采购人修复瑕疵或更新换代，其间产生的费用均由供应商承担。（2）安装调试及售后服务要求：①专用工具：提供专用维修工具包：②安装调试要求：a.设备安装调试前，供应商配备售后服务专业工程师准备安装调试资料并提前邮寄给采购人，以便采购人了解设备安装调试前准备工作，同时专业工程师到采购人现场提供专业建议。b.本次招标供货范围，除包括清单所含全部设施外，还应包括配套的辅助内容、技术资料、产品使用说明书、使用所必需的备件品，负责运输、安装并提供相应的技术服务、人员培训与质量保证。供应商和采购人双方如发现所提供设备的品质和技术规范不符合合同要求时，或有明显损坏，采购人有权向厂商或中标人提出退、换和索赔。c.供应商应在合同生效后15天内向采购人提供详细的安装准备条件及安装计划。设备调试的费用由供应商承担。d.供应商应在接到采购人通知后3天内执行安装、调试。在安装、调试过程中，供应商或厂商应对采购人专业技术人员所提出的技术问题给予满意的答复，并向采购人提供安装调试过程中的各种文档资料,以便采购人今后能掌握操作方法和维护方法。e.安装方式：现场安装，现场调试，按照采购人和供应商双方同意的标准对主机、附件，软件的性能和功能进行测试；在采购人对主机、附件，软件的性能和功能进行测试合格的基础上，由采购人签字验收。f:安装工作完成后，供应商必须小心清除现场杂物，并做清洁维护工作，直至满足采购人要求。g.服务保障措施：有专人负责售后联络，有车辆、交货、运输、安装计划。③配套工程：试验机安装前，供应商须负责完成设备基础施工，基础结构应符合《GB 50300-2013 建筑工程施工质量验收统一标准》中关于重型设备基础的承载、抗震与沉降控制要求。（投标文件中需提供承诺书加盖投标人公章）。④质量保证：以采购人的要求为准，为采购人提供全新的货物（包括零部件），软件终身免费升级。⑤售后服务：2小时内供应商必须响应，48小时内解决问题。可通过电话、电子邮件等方式予以回复和解答。</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违约情况按《中华人民共和国民法典》中的相关条款执行；（2）供应商应对其工作人员人身安全负责，如因工作人员在履行职务过程中的疏忽、失职、过错等故意或者过失原因给采购人造成损失或侵害，包括但不限于采购人本身的财产损失（直接损失、间接损失、采购人为避免损失扩大或维权而支出的律师费、诉讼费、保全费、鉴定费、差旅费等所有合理费用等）、由此而导致的采购人对任何第三方的法律责任等，供应商对此均应承担全部的赔偿责任；（3）未按合同要求提供设备或提供的设备质量或规格不能满足技术要求，采购人有权终止合同并对供应商违约行为进行追究，同时按政府采购法的有关规定进行相应的处罚；（4）若供应商发生延迟交货，每延迟1日，应向采购人支付合同总金额1‰的违约金；延迟超过15日的，采购人有权单方解除合同，并要求供应商支付合同总金额20%的违约金，如该违约金不足以弥补采购人损失的，供应商还应予以赔偿。（5）合同履行过程中出现争议时，由双方友好协商解决。协商不成，向采购人所在地有管辖权的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因政府采购电子化交易平台格式受限，招标文件“3.4.4支付约定”以下列内容为准：采购包1：合同签订后5个工作日内，采购人向供应商预付合同总价的40%；设备运抵采购人指定地点并经采购人初步查验无误后7个工作日内，采购人向供应商支付合同总价的30%；设备安装调试完成，经采购人验收合格并签署《验收合格报告》后，供应商开具全额合法有效的增值税专用发票，采购人7个工作日内向供应商支付合同总价的30%。 （2）中标供应商应于结果公告发布后3日内提交纸质投标文件肆份（正本壹份、副本叁份），纸质版投标文件需包含目录、无少页、缺页、连续页码（要求首封面为第1页，从第2页开始连续编辑页码）。纸质版文件内容应与电子版文件内容保持一致。递交地点：西安市雁塔区南二环东段凯森盛世1号B座2606室；（3）以保函形式交纳投标保证金的，投标人应在投标截止时间前将保函扫描成清晰的PDF文件，发送至邮箱3210945469@qq.com（邮件命名：项目编号+采购包号+项目名称），并将保函原件单独递交至代理机构财务；投标人应在投标文件中附保函复印件或扫描件。保函必须由具有开具投标保函资格的单位开具；若投标人违约，开具保函单位承担连带责任。（4）本项目需执行的国家相关标准、行业标准、地方标准或者其他标准、规范。①GB/T 3159《液压式万能试验机》；②GB/T 16826-2023《电液伺服万能试验机》；③GB/T 2611《试验机通用技术要求》；④JB/T 7406.1《试验机术语 材料试验机》；⑤JJG 139《拉力、压力和万能材料试验机》；⑥GB/T 22066《静力单轴试验机计算机数据采集系统的评定》；⑦GB/T 6825.1《静力单轴试验机的检验 第1部分：拉力和（或）压力试验机测力系统的检验与校准》。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投标主体资格证明</w:t>
            </w:r>
          </w:p>
        </w:tc>
        <w:tc>
          <w:tcPr>
            <w:tcW w:type="dxa" w:w="3322"/>
          </w:tcPr>
          <w:p>
            <w:pPr>
              <w:pStyle w:val="null3"/>
            </w:pPr>
            <w:r>
              <w:rPr>
                <w:rFonts w:ascii="仿宋_GB2312" w:hAnsi="仿宋_GB2312" w:cs="仿宋_GB2312" w:eastAsia="仿宋_GB2312"/>
              </w:rPr>
              <w:t>供应商为具有独立承担民事责任能力的法人、其他组织或自然人,提供合法有效的统一社会信用代码营业执照（事业单位提供事业单位法人证书，自然人应提供身份证）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具有财务审计资质的单位出具的财务审计报告（成立时间至投标时间不足一年的可提供成立后任意时段的财务报表包括资产负债表、现金流量表、利润分配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提供递交投标文件截止之日前一年内任意一个月的依法缴纳税收的相关凭据，凭据应有税务机关或代收机关的公章或业务专用章。依法免税或无须缴纳税收的投标供应商，应提供相应证明文件</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提供递交投标文件截止之日前一年内任意一个月的社会保障资金缴存单据或社保机构开具的社会保险参保缴费情况证明。依法不需要缴纳社会保障资金的投标供应商应提供相关文件证明</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法定代表人身份证明书或法定代表人授权委托书</w:t>
            </w:r>
          </w:p>
        </w:tc>
        <w:tc>
          <w:tcPr>
            <w:tcW w:type="dxa" w:w="3322"/>
          </w:tcPr>
          <w:p>
            <w:pPr>
              <w:pStyle w:val="null3"/>
            </w:pPr>
            <w:r>
              <w:rPr>
                <w:rFonts w:ascii="仿宋_GB2312" w:hAnsi="仿宋_GB2312" w:cs="仿宋_GB2312" w:eastAsia="仿宋_GB2312"/>
              </w:rPr>
              <w:t>提供法定代表人/负责人授权书（附法定代表人/负责人、被授权人身份证复印件及被授权人近半年任意一个月社保缴纳证明或劳动合同。）（法定代表人/负责人直接参加投标，须提供法定代表人/负责人身份证明）</w:t>
            </w:r>
          </w:p>
        </w:tc>
        <w:tc>
          <w:tcPr>
            <w:tcW w:type="dxa" w:w="1661"/>
          </w:tcPr>
          <w:p>
            <w:pPr>
              <w:pStyle w:val="null3"/>
            </w:pPr>
            <w:r>
              <w:rPr>
                <w:rFonts w:ascii="仿宋_GB2312" w:hAnsi="仿宋_GB2312" w:cs="仿宋_GB2312" w:eastAsia="仿宋_GB2312"/>
              </w:rPr>
              <w:t>供应商资格要求格式</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（1）《关于在政府采购活动中查询及使用信用记录有关问题的通知》（财库〔2016〕125号）； （2）《政府采购促进中小企业发展管理办法》（财库〔2020〕46号）、《关于进一步加大政府采购支持中小企业力度的通知》（财库〔2022〕19号）《关于政府采购支持监狱企业发展有关问题的通知》（财库〔2014〕68号）以及《关于促进残疾人就业政府采购政策的通知》（财库〔2017〕141号）； （3）国务院办公厅《关于建立政府强制采购节能产品制度的通知》（国办发〔2007〕51号）、财政部、国家发改委、生态环境部、市监总局联合印发《关于调整优化节能产品、环境标志产品政府采购执行机制的通知》（财库〔2019〕9号）； （4）《陕西省财政厅关于加快推进我省中小企业政府采购信用融资工作的通知》（陕财办采〔2020〕15 号）、陕西省财政厅关于印发《陕西省中小企业政府采购信用融资办法》（陕财办采〔2018〕23 号）； （5）根据《国务院办公厅关于在政府采购中实施本国产品标准及相关政策的通知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本项目不允许进口产品进行投标，全部为国产产品，所以不进行价格折扣； （6）其他需要落实的政府采购政策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投标人在评审现场30分钟内对投标（响应）价格作出解释，提供项目具体成本测算等与报价合理性相关的书面说明及必要的证明材料，包括但不限于原材料成本、人工成本、制造费用等。 属于第③项情形，投标人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投标文件签字、盖章是否满足招标文件要求</w:t>
            </w:r>
          </w:p>
        </w:tc>
        <w:tc>
          <w:tcPr>
            <w:tcW w:type="dxa" w:w="1661"/>
          </w:tcPr>
          <w:p>
            <w:pPr>
              <w:pStyle w:val="null3"/>
            </w:pPr>
            <w:r>
              <w:rPr>
                <w:rFonts w:ascii="仿宋_GB2312" w:hAnsi="仿宋_GB2312" w:cs="仿宋_GB2312" w:eastAsia="仿宋_GB2312"/>
              </w:rPr>
              <w:t>开标一览表 中小企业声明函 供应商资格要求格式 保证金缴纳凭证 商务条款偏离表 投标人应提交的相关资格证明材料 产品技术参数表 供应商认为有必要补充说明的事项 投标函 残疾人福利性单位声明函 标的清单 投标文件封面 供应商承诺书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投标报价是否超过预算或最高限价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是否出现负偏离</w:t>
            </w:r>
          </w:p>
        </w:tc>
        <w:tc>
          <w:tcPr>
            <w:tcW w:type="dxa" w:w="1661"/>
          </w:tcPr>
          <w:p>
            <w:pPr>
              <w:pStyle w:val="null3"/>
            </w:pPr>
            <w:r>
              <w:rPr>
                <w:rFonts w:ascii="仿宋_GB2312" w:hAnsi="仿宋_GB2312" w:cs="仿宋_GB2312" w:eastAsia="仿宋_GB2312"/>
              </w:rPr>
              <w:t>商务条款偏离表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投标保证金缴纳凭证或担保机构出具的保函</w:t>
            </w:r>
          </w:p>
        </w:tc>
        <w:tc>
          <w:tcPr>
            <w:tcW w:type="dxa" w:w="1661"/>
          </w:tcPr>
          <w:p>
            <w:pPr>
              <w:pStyle w:val="null3"/>
            </w:pPr>
            <w:r>
              <w:rPr>
                <w:rFonts w:ascii="仿宋_GB2312" w:hAnsi="仿宋_GB2312" w:cs="仿宋_GB2312" w:eastAsia="仿宋_GB2312"/>
              </w:rPr>
              <w:t>保证金缴纳凭证</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根据投标人提供的产品技术参数表及相应的证明材料，经评审专家审定得分。 完全符合、响应招标文件要求，没有负偏离的得30分；“▲”参数（共6项）负偏离一项扣2分，非“▲”参数负偏离一项扣1分，扣完为止。 【备注：所有标注“▲”的参数均须提供佐证材料，佐证材料包括：国家认可的检测机构出具的检测报告、制造商检验报告、产品彩页、官网功能截图任意一种，经评审专家审定得分。未提供不得分。】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根据项目实际需求，提供完整详细的项目实施方案。内容包含①实施计划及供货时间保障②货物运输及配送保障③安装实施及安装技术人员配置④应急保障措施。 二、评审标准 1、完整性：方案须全面，对评审内容中的各项要求有详细描述； 2、可实施性：切合本项目实际情况，实施步骤清晰、合理； 3、针对性：方案能够紧扣项目实际情况，内容科学合理。 三、赋分依据（满分12分） ①实施计划及供货时间保障：每完全满足一个评审标准得1分，满分3分； ②货物运输及配送保障:每完全满足一个评审标准得1分，满分3分。 ③安装实施及安装技术人员配置：每完全满足一个评审标准得1分，满分3分; ④应急保障措施:每完全满足一个评审标准得1分，满分3分。 内容有缺陷扣0.5分，缺项或未提供得0分。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根据项目实际需求，提供完整详细的项目质量保证方案。内容包含①设备货源渠道②质量保证措施。 二、评审标准 1、完整性：方案须全面，对评审内容中的各项要求有详细描述； 2、可实施性：切合本项目实际情况，实施步骤清晰、合理； 3、针对性：方案能够紧扣项目实际情况，内容科学合理。 三、赋分依据（满分6分） ①设备货源渠道：每完全满足一个评审标准得1分，满分3分； ②质量保证措施：每完全满足一个评审标准得1分，满分3分; 内容有缺陷扣0.5分，缺项或未提供得0分。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根据项目实际需求提供技术培训方案。内容包含①培训计划、时长及人员安排②培训内容及形式。 二、评审标准 1、完整性：方案须全面，对评审内容中的各项要求描述详细； 2、可实施性：切合本项目实际情况，实施步骤清晰、合理； 3、针对性：方案能够紧扣项目实际情况，内容科学合理。 三、赋分依据（满分6分） ①培训计划、时长及人员安排：每完全满足一个评审标准得1分，满分3分； ②培训内容及形式:每完全满足一个评审标准得1分，满分3分。 内容有缺陷扣0.5分，缺项或未提供得0分。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根据项目实际需求提供售后服务方案。内容包含①售后响应时间及售后服务承诺②售后服务内容及保障措施。 二、评审标准 1、完整性：方案须全面，对评审内容中的各项要求描述详细； 2、可实施性：切合本项目实际情况，实施步骤清晰、合理； 3、针对性：方案能够紧扣项目实际情况，内容科学合理。 三、赋分依据（满分6分） ①售后响应时间及售后服务承诺：每完全满足一个评审标准得1分，满分3分； ②售后服务内容及保障措施:每完全满足一个评审标准得1分，满分3分。 内容有缺陷扣0.5分，缺项或未提供得0分。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质保期高于采购文件要求（2年）的，每增加一年得2分，最高得4分。无承诺不得分。 【提供承诺书并加盖公章】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提供2022年1月1日至今类似项目业绩（以合同签订日期为准），每份合格业绩合同计2分，满分6分。 【需提供业绩完整合同及对应货款发票复印件（任意一张），并加盖投标人公章，以上两种证明材料同时提供方可得分，否则不得分。】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近年业绩的有关证明材料</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1、经初审合格的投标文件，通过符合性审查的投标报价为有效投标价。 2、有效最低报价为基准价得30分。 3、按（评标基准价/评审价格）×30的公式计算报价得分。 4、投标报价不完整的，不进入评标基准价的计算，本项得0分。 备注：①本项目专门面向中小企业采购，不再进行政策性扣减。②本项目不允许进口产品进行投标，全部为国产产品，不再进行价格折扣。</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详见附件：供应商资格要求格式</w:t>
      </w:r>
    </w:p>
    <w:p>
      <w:pPr>
        <w:pStyle w:val="null3"/>
        <w:ind w:firstLine="960"/>
      </w:pPr>
      <w:r>
        <w:rPr>
          <w:rFonts w:ascii="仿宋_GB2312" w:hAnsi="仿宋_GB2312" w:cs="仿宋_GB2312" w:eastAsia="仿宋_GB2312"/>
        </w:rPr>
        <w:t>详见附件：保证金缴纳凭证</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详见附件：商务条款偏离表</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详见附件：投标方案说明书</w:t>
      </w:r>
    </w:p>
    <w:p>
      <w:pPr>
        <w:pStyle w:val="null3"/>
        <w:ind w:firstLine="960"/>
      </w:pPr>
      <w:r>
        <w:rPr>
          <w:rFonts w:ascii="仿宋_GB2312" w:hAnsi="仿宋_GB2312" w:cs="仿宋_GB2312" w:eastAsia="仿宋_GB2312"/>
        </w:rPr>
        <w:t>详见附件：近年业绩的有关证明材料</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详见附件：供应商认为有必要补充说明的事项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