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版本号：ZBZB-2026-285620260326001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第六届中国国际消费品博览会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ZBZB-2026-2856</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第六届中国国际消费品博览会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第六届中国国际消费品博览会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按照第六届中国国际消费品博览会相关要求，在规定条件下完成服务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采购包1（博览会）：属于专门面向中小企业采购。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 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采购包1保证金金额：9,600.00元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银行账号：30205380002049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银行账号：30205380002049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第六届中国国际消费品博览会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场馆搭建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采购内容：第</w:t>
            </w:r>
            <w:r>
              <w:rPr>
                <w:rFonts w:ascii="仿宋_GB2312" w:hAnsi="仿宋_GB2312" w:cs="仿宋_GB2312" w:eastAsia="仿宋_GB2312"/>
              </w:rPr>
              <w:t>六</w:t>
            </w:r>
            <w:r>
              <w:rPr>
                <w:rFonts w:ascii="仿宋_GB2312" w:hAnsi="仿宋_GB2312" w:cs="仿宋_GB2312" w:eastAsia="仿宋_GB2312"/>
              </w:rPr>
              <w:t>届中国国际消费品博览会陕西展馆搭建</w:t>
            </w:r>
          </w:p>
          <w:p>
            <w:pPr>
              <w:pStyle w:val="null3"/>
            </w:pPr>
            <w:r>
              <w:rPr>
                <w:rFonts w:ascii="仿宋_GB2312" w:hAnsi="仿宋_GB2312" w:cs="仿宋_GB2312" w:eastAsia="仿宋_GB2312"/>
              </w:rPr>
              <w:t xml:space="preserve">    </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年第</w:t>
            </w:r>
            <w:r>
              <w:rPr>
                <w:rFonts w:ascii="仿宋_GB2312" w:hAnsi="仿宋_GB2312" w:cs="仿宋_GB2312" w:eastAsia="仿宋_GB2312"/>
              </w:rPr>
              <w:t>六</w:t>
            </w:r>
            <w:r>
              <w:rPr>
                <w:rFonts w:ascii="仿宋_GB2312" w:hAnsi="仿宋_GB2312" w:cs="仿宋_GB2312" w:eastAsia="仿宋_GB2312"/>
              </w:rPr>
              <w:t>届中国国际消费品博览会将于</w:t>
            </w:r>
            <w:r>
              <w:rPr>
                <w:rFonts w:ascii="仿宋_GB2312" w:hAnsi="仿宋_GB2312" w:cs="仿宋_GB2312" w:eastAsia="仿宋_GB2312"/>
              </w:rPr>
              <w:t>4</w:t>
            </w:r>
            <w:r>
              <w:rPr>
                <w:rFonts w:ascii="仿宋_GB2312" w:hAnsi="仿宋_GB2312" w:cs="仿宋_GB2312" w:eastAsia="仿宋_GB2312"/>
              </w:rPr>
              <w:t>月</w:t>
            </w:r>
            <w:r>
              <w:rPr>
                <w:rFonts w:ascii="仿宋_GB2312" w:hAnsi="仿宋_GB2312" w:cs="仿宋_GB2312" w:eastAsia="仿宋_GB2312"/>
              </w:rPr>
              <w:t>13</w:t>
            </w:r>
            <w:r>
              <w:rPr>
                <w:rFonts w:ascii="仿宋_GB2312" w:hAnsi="仿宋_GB2312" w:cs="仿宋_GB2312" w:eastAsia="仿宋_GB2312"/>
              </w:rPr>
              <w:t>日</w:t>
            </w:r>
            <w:r>
              <w:rPr>
                <w:rFonts w:ascii="仿宋_GB2312" w:hAnsi="仿宋_GB2312" w:cs="仿宋_GB2312" w:eastAsia="仿宋_GB2312"/>
              </w:rPr>
              <w:t>-18</w:t>
            </w:r>
            <w:r>
              <w:rPr>
                <w:rFonts w:ascii="仿宋_GB2312" w:hAnsi="仿宋_GB2312" w:cs="仿宋_GB2312" w:eastAsia="仿宋_GB2312"/>
              </w:rPr>
              <w:t>日在海口国际会展中心举办，为充分利用消博会平台，展示我省消费市场活力和名优新特消费精品特色，省商务厅在消博会主展区海南国际会展中心设置陕西展区，展区面积</w:t>
            </w:r>
            <w:r>
              <w:rPr>
                <w:rFonts w:ascii="仿宋_GB2312" w:hAnsi="仿宋_GB2312" w:cs="仿宋_GB2312" w:eastAsia="仿宋_GB2312"/>
              </w:rPr>
              <w:t>3</w:t>
            </w:r>
            <w:r>
              <w:rPr>
                <w:rFonts w:ascii="仿宋_GB2312" w:hAnsi="仿宋_GB2312" w:cs="仿宋_GB2312" w:eastAsia="仿宋_GB2312"/>
              </w:rPr>
              <w:t>00</w:t>
            </w:r>
            <w:r>
              <w:rPr>
                <w:rFonts w:ascii="仿宋_GB2312" w:hAnsi="仿宋_GB2312" w:cs="仿宋_GB2312" w:eastAsia="仿宋_GB2312"/>
              </w:rPr>
              <w:t>㎡，拟委托服务商在规定服务期限内完成第</w:t>
            </w:r>
            <w:r>
              <w:rPr>
                <w:rFonts w:ascii="仿宋_GB2312" w:hAnsi="仿宋_GB2312" w:cs="仿宋_GB2312" w:eastAsia="仿宋_GB2312"/>
              </w:rPr>
              <w:t>六</w:t>
            </w:r>
            <w:r>
              <w:rPr>
                <w:rFonts w:ascii="仿宋_GB2312" w:hAnsi="仿宋_GB2312" w:cs="仿宋_GB2312" w:eastAsia="仿宋_GB2312"/>
              </w:rPr>
              <w:t>届消博会陕西展区的设计搭建、布置及相关服务等。包含展馆设计、地面和主体结构搭建，展区展柜制作安装，整体</w:t>
            </w:r>
            <w:r>
              <w:rPr>
                <w:rFonts w:ascii="仿宋_GB2312" w:hAnsi="仿宋_GB2312" w:cs="仿宋_GB2312" w:eastAsia="仿宋_GB2312"/>
              </w:rPr>
              <w:t>LOGO</w:t>
            </w:r>
            <w:r>
              <w:rPr>
                <w:rFonts w:ascii="仿宋_GB2312" w:hAnsi="仿宋_GB2312" w:cs="仿宋_GB2312" w:eastAsia="仿宋_GB2312"/>
              </w:rPr>
              <w:t>字和墙面立体字制作，照明，布线，灯箱和展板制作，多媒体租赁及相关服务等。</w:t>
            </w:r>
          </w:p>
          <w:p>
            <w:pPr>
              <w:pStyle w:val="null3"/>
            </w:pPr>
            <w:r>
              <w:rPr>
                <w:rFonts w:ascii="仿宋_GB2312" w:hAnsi="仿宋_GB2312" w:cs="仿宋_GB2312" w:eastAsia="仿宋_GB2312"/>
              </w:rPr>
              <w:t>二、</w:t>
            </w:r>
            <w:r>
              <w:rPr>
                <w:rFonts w:ascii="仿宋_GB2312" w:hAnsi="仿宋_GB2312" w:cs="仿宋_GB2312" w:eastAsia="仿宋_GB2312"/>
              </w:rPr>
              <w:t>需满足的要求：</w:t>
            </w:r>
          </w:p>
          <w:p>
            <w:pPr>
              <w:pStyle w:val="null3"/>
            </w:pPr>
            <w:r>
              <w:rPr>
                <w:rFonts w:ascii="仿宋_GB2312" w:hAnsi="仿宋_GB2312" w:cs="仿宋_GB2312" w:eastAsia="仿宋_GB2312"/>
              </w:rPr>
              <w:t>1.</w:t>
            </w:r>
            <w:r>
              <w:rPr>
                <w:rFonts w:ascii="仿宋_GB2312" w:hAnsi="仿宋_GB2312" w:cs="仿宋_GB2312" w:eastAsia="仿宋_GB2312"/>
              </w:rPr>
              <w:t>坚持勤俭节约：展场的设计、搭建应简约大方，注重环保，符合组委会对搭建材质的相关要求。</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主题突出，体现消费特色：布展设计以展示陕西名优消费品为主，主题应突出，背景色彩搭配合理，与展区整体风格相协调，能彰显陕西名优消费品高、新、特、优的特色，具备参展产品展示及企业品牌形象展示功能。</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设计布局合理：展场设计应构思新颖，创意独特，方便实用；科学设计参观游览线路，避免拥堵；要严格按照展馆要求进行设计和搭建，展位的总体结构展台限高</w:t>
            </w:r>
            <w:r>
              <w:rPr>
                <w:rFonts w:ascii="仿宋_GB2312" w:hAnsi="仿宋_GB2312" w:cs="仿宋_GB2312" w:eastAsia="仿宋_GB2312"/>
              </w:rPr>
              <w:t>6</w:t>
            </w:r>
            <w:r>
              <w:rPr>
                <w:rFonts w:ascii="仿宋_GB2312" w:hAnsi="仿宋_GB2312" w:cs="仿宋_GB2312" w:eastAsia="仿宋_GB2312"/>
              </w:rPr>
              <w:t>米（包括地台高度和悬挑造型等）。</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服务要求：在规定时间内完成陕西展区整体设计，提交采购人进行审核，提出改进意见并修改方案至采购人满意。搭建期间，安排专人现场协调对接落实陕西展区搭建各项具体事宜，严格执行方案，确保展示效果。采购价格为包干价，包括服务商完成陕西展区设计搭建布展及展台拆除所需的全部费用。</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质量保证：展区整体策划要具有专业性、人文性、综合性、时尚性、协调性。设计效果与实际效果要保持一致。在规定的搭建时间内进驻展馆施工，完成布展工作，并确保工程质量符合标准。</w:t>
            </w:r>
          </w:p>
          <w:p>
            <w:pPr>
              <w:pStyle w:val="null3"/>
            </w:pPr>
            <w:r>
              <w:rPr>
                <w:rFonts w:ascii="仿宋_GB2312" w:hAnsi="仿宋_GB2312" w:cs="仿宋_GB2312" w:eastAsia="仿宋_GB2312"/>
                <w:sz w:val="21"/>
              </w:rPr>
              <w:t>7.</w:t>
            </w:r>
            <w:r>
              <w:rPr>
                <w:rFonts w:ascii="仿宋_GB2312" w:hAnsi="仿宋_GB2312" w:cs="仿宋_GB2312" w:eastAsia="仿宋_GB2312"/>
                <w:sz w:val="21"/>
              </w:rPr>
              <w:t>展位搭建所用材料应符合国家相关规定，不得使用劣质材料。中标供应商不得将项目转包、分包。为了确保服务质量，中标供应商应组织一支强有力的技术骨干队伍，建立严格的质量管理体系，规范操作。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合同履行结束并验收合格后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1.供应商缴纳保证金时请备注：2856保证金。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 xml:space="preserve"> 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针对本项目服务要求编制，结合项目实际情况，对供应商服务方案的完善程度及合理性进行赋分。方案合理、完善的赋7-10分，方案较为合理、完善赋 4-7分，方案较差、措施一般赋0-4分。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工作进度计划合理、有可操作性，有详细的服务质量保障措施,在采购人规定的时间内高质量完成服务。措施方案合理、完善的赋 7-10 分，措施方案较为合理、完善赋 4-7 分，措施方案较差、一般赋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展会布置</w:t>
            </w:r>
          </w:p>
        </w:tc>
        <w:tc>
          <w:tcPr>
            <w:tcW w:type="dxa" w:w="2492"/>
          </w:tcPr>
          <w:p>
            <w:pPr>
              <w:pStyle w:val="null3"/>
            </w:pPr>
            <w:r>
              <w:rPr>
                <w:rFonts w:ascii="仿宋_GB2312" w:hAnsi="仿宋_GB2312" w:cs="仿宋_GB2312" w:eastAsia="仿宋_GB2312"/>
              </w:rPr>
              <w:t>布局合理、创意独特、构思新颖，根据采购内容服务要求，舞台搭建、现场布置，场地规划等方案。主题突出、特色鲜明、设计新颖、简洁大方，将传统与现代相结合，方案完善、合理、可行，得 7-10 分；方案基本合理、可行，得 4-7 分；方案内容简单，基本满足项目需求计 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具有可行完善的突发事件及紧急情况处理措施方案</w:t>
            </w:r>
          </w:p>
        </w:tc>
        <w:tc>
          <w:tcPr>
            <w:tcW w:type="dxa" w:w="2492"/>
          </w:tcPr>
          <w:p>
            <w:pPr>
              <w:pStyle w:val="null3"/>
            </w:pPr>
            <w:r>
              <w:rPr>
                <w:rFonts w:ascii="仿宋_GB2312" w:hAnsi="仿宋_GB2312" w:cs="仿宋_GB2312" w:eastAsia="仿宋_GB2312"/>
              </w:rPr>
              <w:t>方案细致完整、可行、描述条理清晰，内容齐全，有较高的针对性赋 4-7分，方案较完整，针对性一般赋2-4分，方案含糊，针对性较差赋 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消防安全、设施设备等确保活动顺利实施</w:t>
            </w:r>
          </w:p>
        </w:tc>
        <w:tc>
          <w:tcPr>
            <w:tcW w:type="dxa" w:w="2492"/>
          </w:tcPr>
          <w:p>
            <w:pPr>
              <w:pStyle w:val="null3"/>
            </w:pPr>
            <w:r>
              <w:rPr>
                <w:rFonts w:ascii="仿宋_GB2312" w:hAnsi="仿宋_GB2312" w:cs="仿宋_GB2312" w:eastAsia="仿宋_GB2312"/>
              </w:rPr>
              <w:t>提供本项目消防安全、设施设备等确保活动顺利实施。方案完善、合理、可行，得 6-8 分；方案基本合理、可行，得 3-6 分；方案内容简单，基本满足项目需求得，0-3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保证活动顺利进行的安全方案。方案完善、合理、可行，得 7-10 分；方案基本合理、可行，得 4-7 分；方案内容简单，基本满足项目需求，得1-4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有详细的人员配置方案，有健全的组织机构及工作安排，岗位分工明确，得 7-10分；有详细的人员配置方案，组织机构及工作安排基本完善、合理，岗位分工明确得，4-7 分；有详细的人员配置方案，组织机构及工作安排合理性差，岗位分工不明确，得 1-4 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具有良好的本地化服务能力，能够准确提供本地化服务。提供 7*24 小时售后， 如设备或系统发生故障，在10分钟内响应，2小时内到达现场解决问题，附本项目售后人员联系方式。（包括但不限于服务人员配备、响应时间、响应程度、解决问题能力、紧急故障处理预案等）进行综合评价。售后服务方案齐全合理、可操作性强；7-10 分； 售后服务方案基本满足项目需求；3-7 分； 售后服务方案不完整或合理性低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1.展会进行前，供应商需对相应人员进行技术培训，在设备发生故障时的补救措施等方面有明确的承诺，承诺内容完善、合理、可行计 4-6 分，承诺内容基本完善、可行计 2-4 分，承诺内容欠缺，可行性差计 0-2 分，未提供不计分。 2.供应商须确保项目能按时、按质完成，提供服务承诺；且有具体的技术服务保障措施、服务能力方案；方案完善、合理、可行计4-6 分，提供方案内容基本完善、可行计 2-4 分，提供方案内容欠缺，可行性差计 0-2 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供应商提供（2023年1月至今）类似项目业绩（承接过国省市大型活动、会议、会展的设计搭建和服务保障工作），每提供 1 个得 1 分，最高得 3分；业绩证明（以合同或中标通知书为准，须在文件中附合同的扫描件加盖单位公章。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