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04F71">
      <w:pPr>
        <w:snapToGrid w:val="0"/>
        <w:spacing w:line="360" w:lineRule="auto"/>
        <w:jc w:val="center"/>
        <w:rPr>
          <w:rStyle w:val="6"/>
          <w:rFonts w:hint="default"/>
          <w:sz w:val="44"/>
          <w:szCs w:val="44"/>
          <w:highlight w:val="none"/>
          <w:lang w:eastAsia="zh-CN"/>
        </w:rPr>
      </w:pPr>
    </w:p>
    <w:p w14:paraId="24C049C7">
      <w:pPr>
        <w:snapToGrid w:val="0"/>
        <w:spacing w:line="360" w:lineRule="auto"/>
        <w:jc w:val="center"/>
        <w:rPr>
          <w:rStyle w:val="6"/>
          <w:rFonts w:hint="default"/>
          <w:sz w:val="44"/>
          <w:szCs w:val="44"/>
          <w:highlight w:val="none"/>
          <w:lang w:eastAsia="zh-CN"/>
        </w:rPr>
      </w:pPr>
    </w:p>
    <w:p w14:paraId="75A1C530">
      <w:pPr>
        <w:snapToGrid w:val="0"/>
        <w:spacing w:line="360" w:lineRule="auto"/>
        <w:jc w:val="center"/>
        <w:rPr>
          <w:rStyle w:val="6"/>
          <w:rFonts w:hint="default"/>
          <w:sz w:val="44"/>
          <w:szCs w:val="44"/>
          <w:highlight w:val="none"/>
          <w:lang w:eastAsia="zh-CN"/>
        </w:rPr>
      </w:pPr>
    </w:p>
    <w:p w14:paraId="4FF542E7">
      <w:pPr>
        <w:snapToGrid w:val="0"/>
        <w:spacing w:line="360" w:lineRule="auto"/>
        <w:jc w:val="center"/>
        <w:rPr>
          <w:rStyle w:val="6"/>
          <w:rFonts w:hint="default"/>
          <w:sz w:val="44"/>
          <w:szCs w:val="44"/>
          <w:highlight w:val="none"/>
          <w:lang w:eastAsia="zh-CN"/>
        </w:rPr>
      </w:pPr>
      <w:bookmarkStart w:id="2" w:name="_GoBack"/>
      <w:bookmarkEnd w:id="2"/>
      <w:r>
        <w:rPr>
          <w:rStyle w:val="6"/>
          <w:rFonts w:hint="default"/>
          <w:sz w:val="44"/>
          <w:szCs w:val="44"/>
          <w:highlight w:val="none"/>
          <w:lang w:eastAsia="zh-CN"/>
        </w:rPr>
        <w:t>西安戏剧学院</w:t>
      </w:r>
    </w:p>
    <w:p w14:paraId="59EFE979">
      <w:pPr>
        <w:snapToGrid w:val="0"/>
        <w:spacing w:line="360" w:lineRule="auto"/>
        <w:jc w:val="center"/>
        <w:rPr>
          <w:rFonts w:ascii="宋体" w:hAnsi="宋体"/>
          <w:b/>
          <w:bCs/>
          <w:sz w:val="44"/>
          <w:szCs w:val="44"/>
          <w:highlight w:val="none"/>
        </w:rPr>
      </w:pPr>
      <w:r>
        <w:rPr>
          <w:rStyle w:val="6"/>
          <w:rFonts w:hint="default"/>
          <w:sz w:val="44"/>
          <w:szCs w:val="44"/>
          <w:highlight w:val="none"/>
          <w:lang w:eastAsia="zh-CN"/>
        </w:rPr>
        <w:t>财务信息化系统建设项目</w:t>
      </w:r>
    </w:p>
    <w:p w14:paraId="233B9014">
      <w:pPr>
        <w:jc w:val="center"/>
        <w:rPr>
          <w:rFonts w:ascii="宋体" w:hAnsi="宋体" w:cs="宋体"/>
          <w:b/>
          <w:sz w:val="72"/>
          <w:szCs w:val="72"/>
          <w:highlight w:val="none"/>
        </w:rPr>
      </w:pPr>
    </w:p>
    <w:p w14:paraId="2FA1B38A">
      <w:pPr>
        <w:jc w:val="center"/>
        <w:rPr>
          <w:rFonts w:ascii="宋体" w:hAnsi="宋体" w:cs="宋体"/>
          <w:b/>
          <w:sz w:val="72"/>
          <w:szCs w:val="72"/>
          <w:highlight w:val="none"/>
        </w:rPr>
      </w:pPr>
    </w:p>
    <w:p w14:paraId="177DD9F5">
      <w:pPr>
        <w:jc w:val="center"/>
        <w:rPr>
          <w:rFonts w:ascii="宋体" w:hAnsi="宋体" w:cs="宋体"/>
          <w:b/>
          <w:sz w:val="72"/>
          <w:szCs w:val="72"/>
          <w:highlight w:val="none"/>
        </w:rPr>
      </w:pPr>
      <w:r>
        <w:rPr>
          <w:rFonts w:hint="eastAsia" w:ascii="宋体" w:hAnsi="宋体" w:cs="宋体"/>
          <w:b/>
          <w:sz w:val="72"/>
          <w:szCs w:val="72"/>
          <w:highlight w:val="none"/>
        </w:rPr>
        <w:t>采 购 供 货 合 同</w:t>
      </w:r>
    </w:p>
    <w:p w14:paraId="46EE459E">
      <w:pPr>
        <w:jc w:val="center"/>
        <w:rPr>
          <w:rFonts w:ascii="黑体" w:eastAsia="黑体"/>
          <w:sz w:val="30"/>
          <w:szCs w:val="30"/>
          <w:highlight w:val="none"/>
        </w:rPr>
      </w:pPr>
    </w:p>
    <w:p w14:paraId="13F68807">
      <w:pPr>
        <w:jc w:val="center"/>
        <w:rPr>
          <w:rFonts w:ascii="黑体" w:eastAsia="黑体"/>
          <w:sz w:val="30"/>
          <w:szCs w:val="30"/>
          <w:highlight w:val="none"/>
        </w:rPr>
      </w:pPr>
    </w:p>
    <w:p w14:paraId="1D79B55C">
      <w:pPr>
        <w:pStyle w:val="2"/>
        <w:rPr>
          <w:highlight w:val="none"/>
        </w:rPr>
      </w:pPr>
    </w:p>
    <w:p w14:paraId="2DBE6D4C">
      <w:pPr>
        <w:ind w:firstLine="2570" w:firstLineChars="800"/>
        <w:rPr>
          <w:rFonts w:ascii="宋体" w:hAnsi="宋体" w:cs="宋体"/>
          <w:b/>
          <w:bCs/>
          <w:sz w:val="32"/>
          <w:szCs w:val="32"/>
          <w:highlight w:val="none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甲  方：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u w:val="single"/>
          <w:lang w:eastAsia="zh-CN"/>
        </w:rPr>
        <w:t>西安戏剧学院</w:t>
      </w:r>
    </w:p>
    <w:p w14:paraId="18AD8E54">
      <w:pPr>
        <w:ind w:firstLine="2570" w:firstLineChars="800"/>
        <w:rPr>
          <w:rFonts w:ascii="宋体" w:hAnsi="宋体" w:cs="宋体"/>
          <w:b/>
          <w:bCs/>
          <w:sz w:val="32"/>
          <w:szCs w:val="32"/>
          <w:highlight w:val="none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乙  方：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u w:val="single"/>
        </w:rPr>
        <w:t xml:space="preserve">            </w:t>
      </w:r>
    </w:p>
    <w:p w14:paraId="7F47E0E1">
      <w:pPr>
        <w:ind w:firstLine="1928" w:firstLineChars="600"/>
        <w:rPr>
          <w:rFonts w:ascii="黑体" w:eastAsia="黑体"/>
          <w:b/>
          <w:bCs/>
          <w:sz w:val="32"/>
          <w:szCs w:val="32"/>
          <w:highlight w:val="none"/>
        </w:rPr>
      </w:pPr>
    </w:p>
    <w:p w14:paraId="3A2476A2">
      <w:pPr>
        <w:ind w:firstLine="1928" w:firstLineChars="600"/>
        <w:rPr>
          <w:rFonts w:ascii="黑体" w:eastAsia="黑体"/>
          <w:b/>
          <w:bCs/>
          <w:sz w:val="32"/>
          <w:szCs w:val="32"/>
          <w:highlight w:val="none"/>
        </w:rPr>
      </w:pPr>
    </w:p>
    <w:p w14:paraId="13C060CB">
      <w:pPr>
        <w:pStyle w:val="8"/>
        <w:rPr>
          <w:b/>
          <w:bCs/>
          <w:highlight w:val="none"/>
        </w:rPr>
      </w:pPr>
    </w:p>
    <w:p w14:paraId="279520B6">
      <w:pPr>
        <w:jc w:val="center"/>
        <w:rPr>
          <w:b/>
          <w:bCs/>
          <w:sz w:val="24"/>
          <w:highlight w:val="none"/>
        </w:rPr>
      </w:pPr>
    </w:p>
    <w:p w14:paraId="1A4C8D9C">
      <w:pPr>
        <w:jc w:val="center"/>
        <w:rPr>
          <w:b/>
          <w:bCs/>
          <w:sz w:val="24"/>
          <w:highlight w:val="none"/>
        </w:rPr>
      </w:pPr>
    </w:p>
    <w:p w14:paraId="7D105CAE">
      <w:pPr>
        <w:jc w:val="center"/>
        <w:rPr>
          <w:b/>
          <w:bCs/>
          <w:highlight w:val="none"/>
        </w:rPr>
      </w:pPr>
      <w:r>
        <w:rPr>
          <w:rFonts w:hint="eastAsia"/>
          <w:b/>
          <w:bCs/>
          <w:sz w:val="24"/>
          <w:highlight w:val="none"/>
        </w:rPr>
        <w:t>合同签订地：西安市</w:t>
      </w:r>
    </w:p>
    <w:p w14:paraId="66AB653F">
      <w:pPr>
        <w:snapToGrid w:val="0"/>
        <w:spacing w:line="360" w:lineRule="auto"/>
        <w:jc w:val="center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hAnsi="宋体"/>
          <w:b/>
          <w:bCs/>
          <w:sz w:val="36"/>
          <w:szCs w:val="36"/>
          <w:highlight w:val="none"/>
        </w:rPr>
        <w:br w:type="page"/>
      </w:r>
    </w:p>
    <w:p w14:paraId="5B425D6B">
      <w:pPr>
        <w:kinsoku w:val="0"/>
        <w:spacing w:line="360" w:lineRule="auto"/>
        <w:jc w:val="center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采购供货合同</w:t>
      </w:r>
    </w:p>
    <w:p w14:paraId="1C4F5259">
      <w:pPr>
        <w:kinsoku w:val="0"/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highlight w:val="none"/>
        </w:rPr>
        <w:t>甲方：</w:t>
      </w:r>
      <w:r>
        <w:rPr>
          <w:rFonts w:hint="eastAsia" w:ascii="宋体" w:hAnsi="宋体" w:cs="宋体"/>
          <w:sz w:val="24"/>
          <w:highlight w:val="none"/>
          <w:lang w:eastAsia="zh-CN"/>
        </w:rPr>
        <w:t>西安戏剧学院</w:t>
      </w:r>
    </w:p>
    <w:p w14:paraId="73B5A562">
      <w:pPr>
        <w:kinsoku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乙方：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 w14:paraId="1EEB3018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根据《中华人民共和国政府采购法》、《中华人民共和国民法典》等法律法规，甲方通过公开招标，选定乙方为中标单位。甲、乙双方在平等基础上协商一致，达成如下合同条款：</w:t>
      </w:r>
    </w:p>
    <w:p w14:paraId="0DA75846">
      <w:pPr>
        <w:kinsoku w:val="0"/>
        <w:spacing w:line="360" w:lineRule="auto"/>
        <w:ind w:left="251" w:leftChars="114" w:hanging="12" w:hangingChars="5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1、</w:t>
      </w:r>
      <w:r>
        <w:rPr>
          <w:rFonts w:hint="eastAsia" w:ascii="宋体" w:hAnsi="宋体" w:cs="宋体"/>
          <w:b/>
          <w:sz w:val="24"/>
          <w:highlight w:val="none"/>
        </w:rPr>
        <w:t>合同内容                        包号：         单位：元</w:t>
      </w:r>
    </w:p>
    <w:tbl>
      <w:tblPr>
        <w:tblStyle w:val="4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821"/>
        <w:gridCol w:w="1417"/>
        <w:gridCol w:w="1242"/>
        <w:gridCol w:w="783"/>
        <w:gridCol w:w="1013"/>
        <w:gridCol w:w="1005"/>
        <w:gridCol w:w="944"/>
      </w:tblGrid>
      <w:tr w14:paraId="67A03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484" w:type="pct"/>
            <w:vAlign w:val="center"/>
          </w:tcPr>
          <w:p w14:paraId="232F147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000" w:type="pct"/>
            <w:vAlign w:val="center"/>
          </w:tcPr>
          <w:p w14:paraId="48B1B160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设备名称</w:t>
            </w:r>
          </w:p>
        </w:tc>
        <w:tc>
          <w:tcPr>
            <w:tcW w:w="778" w:type="pct"/>
            <w:vAlign w:val="center"/>
          </w:tcPr>
          <w:p w14:paraId="1C0192A4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型号</w:t>
            </w:r>
          </w:p>
        </w:tc>
        <w:tc>
          <w:tcPr>
            <w:tcW w:w="682" w:type="pct"/>
            <w:vAlign w:val="center"/>
          </w:tcPr>
          <w:p w14:paraId="3EB2E787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生产厂家</w:t>
            </w:r>
          </w:p>
        </w:tc>
        <w:tc>
          <w:tcPr>
            <w:tcW w:w="430" w:type="pct"/>
            <w:vAlign w:val="center"/>
          </w:tcPr>
          <w:p w14:paraId="3F5A829A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数量</w:t>
            </w:r>
          </w:p>
        </w:tc>
        <w:tc>
          <w:tcPr>
            <w:tcW w:w="556" w:type="pct"/>
            <w:vAlign w:val="center"/>
          </w:tcPr>
          <w:p w14:paraId="535F0F7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单价</w:t>
            </w:r>
          </w:p>
        </w:tc>
        <w:tc>
          <w:tcPr>
            <w:tcW w:w="552" w:type="pct"/>
            <w:vAlign w:val="center"/>
          </w:tcPr>
          <w:p w14:paraId="23341EFF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总价</w:t>
            </w:r>
          </w:p>
        </w:tc>
        <w:tc>
          <w:tcPr>
            <w:tcW w:w="518" w:type="pct"/>
            <w:vAlign w:val="center"/>
          </w:tcPr>
          <w:p w14:paraId="0A9D3C9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备注</w:t>
            </w:r>
          </w:p>
        </w:tc>
      </w:tr>
      <w:tr w14:paraId="72C5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vAlign w:val="center"/>
          </w:tcPr>
          <w:p w14:paraId="4F07FC5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BF27B7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78" w:type="pct"/>
            <w:vAlign w:val="center"/>
          </w:tcPr>
          <w:p w14:paraId="58DAEFF1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0519B9BF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430" w:type="pct"/>
            <w:vAlign w:val="center"/>
          </w:tcPr>
          <w:p w14:paraId="447E12E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56" w:type="pct"/>
            <w:vAlign w:val="center"/>
          </w:tcPr>
          <w:p w14:paraId="3800CE0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52" w:type="pct"/>
            <w:vAlign w:val="center"/>
          </w:tcPr>
          <w:p w14:paraId="5C5A48C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18" w:type="pct"/>
            <w:vAlign w:val="center"/>
          </w:tcPr>
          <w:p w14:paraId="56AA2F53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00F27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vAlign w:val="center"/>
          </w:tcPr>
          <w:p w14:paraId="4BFB50B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CA5F3A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78" w:type="pct"/>
            <w:vAlign w:val="center"/>
          </w:tcPr>
          <w:p w14:paraId="76D2CE3C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0CD03543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430" w:type="pct"/>
            <w:vAlign w:val="center"/>
          </w:tcPr>
          <w:p w14:paraId="65F124A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56" w:type="pct"/>
            <w:vAlign w:val="center"/>
          </w:tcPr>
          <w:p w14:paraId="6C29306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52" w:type="pct"/>
            <w:vAlign w:val="center"/>
          </w:tcPr>
          <w:p w14:paraId="4A1A77A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18" w:type="pct"/>
            <w:vAlign w:val="center"/>
          </w:tcPr>
          <w:p w14:paraId="46ABCA2B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56A5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vAlign w:val="center"/>
          </w:tcPr>
          <w:p w14:paraId="57B54EF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6B4893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78" w:type="pct"/>
            <w:vAlign w:val="center"/>
          </w:tcPr>
          <w:p w14:paraId="57FD2277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6DF1D423">
            <w:pPr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430" w:type="pct"/>
            <w:vAlign w:val="center"/>
          </w:tcPr>
          <w:p w14:paraId="5325C8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56" w:type="pct"/>
            <w:vAlign w:val="center"/>
          </w:tcPr>
          <w:p w14:paraId="0FC034F4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52" w:type="pct"/>
            <w:vAlign w:val="center"/>
          </w:tcPr>
          <w:p w14:paraId="21DC0FAC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518" w:type="pct"/>
            <w:vAlign w:val="center"/>
          </w:tcPr>
          <w:p w14:paraId="3C94610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30BD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84" w:type="pct"/>
            <w:gridSpan w:val="2"/>
            <w:vAlign w:val="center"/>
          </w:tcPr>
          <w:p w14:paraId="49F32A8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3516" w:type="pct"/>
            <w:gridSpan w:val="6"/>
            <w:vAlign w:val="center"/>
          </w:tcPr>
          <w:p w14:paraId="01D318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￥：       （大写）</w:t>
            </w:r>
          </w:p>
        </w:tc>
      </w:tr>
    </w:tbl>
    <w:p w14:paraId="4F585060">
      <w:pPr>
        <w:kinsoku w:val="0"/>
        <w:spacing w:line="360" w:lineRule="auto"/>
        <w:ind w:firstLine="600" w:firstLineChars="25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（参数附件说明）</w:t>
      </w:r>
    </w:p>
    <w:p w14:paraId="3B650048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乙方负责按以上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3884F7DD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二、合同价格</w:t>
      </w:r>
    </w:p>
    <w:p w14:paraId="06CBB7EC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合同总价：人民币大写：</w:t>
      </w:r>
      <w:r>
        <w:rPr>
          <w:rFonts w:hint="eastAsia" w:ascii="宋体" w:hAnsi="宋体" w:cs="宋体"/>
          <w:b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/>
          <w:sz w:val="24"/>
          <w:highlight w:val="none"/>
        </w:rPr>
        <w:t>元整；</w:t>
      </w:r>
      <w:r>
        <w:rPr>
          <w:rFonts w:hint="eastAsia" w:ascii="宋体" w:hAnsi="宋体" w:cs="宋体"/>
          <w:sz w:val="24"/>
          <w:highlight w:val="none"/>
        </w:rPr>
        <w:t xml:space="preserve">￥ </w:t>
      </w:r>
      <w:r>
        <w:rPr>
          <w:rFonts w:hint="eastAsia" w:ascii="宋体" w:hAnsi="宋体" w:cs="宋体"/>
          <w:b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sz w:val="24"/>
          <w:highlight w:val="none"/>
        </w:rPr>
        <w:t>元。</w:t>
      </w:r>
    </w:p>
    <w:p w14:paraId="54199DD5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1F3865B6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82" w:firstLineChars="200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款项支付</w:t>
      </w:r>
    </w:p>
    <w:p w14:paraId="61D946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 w:firstLine="480" w:firstLineChars="200"/>
        <w:textAlignment w:val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验收合格后，甲方向乙方一次性付清合同款项。甲方向乙方付款前，乙方应向甲方开具符合要求的发票，若因乙方未开具或逾期开具合法有效的发票，甲方有权顺延付款期限且不承担逾期付款责任，达到付款条件起30日内，支付合同总金额的100.00%</w:t>
      </w:r>
    </w:p>
    <w:p w14:paraId="592A2055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四、交货条件</w:t>
      </w:r>
    </w:p>
    <w:p w14:paraId="69786CB6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1.交货地点：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甲方</w:t>
      </w:r>
      <w:r>
        <w:rPr>
          <w:rFonts w:hint="eastAsia" w:ascii="宋体" w:hAnsi="宋体" w:cs="宋体"/>
          <w:sz w:val="24"/>
          <w:highlight w:val="none"/>
        </w:rPr>
        <w:t>指定地点。</w:t>
      </w:r>
    </w:p>
    <w:p w14:paraId="4CA0E1E7">
      <w:pPr>
        <w:kinsoku w:val="0"/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2.交货日期：</w:t>
      </w:r>
      <w:r>
        <w:rPr>
          <w:rFonts w:hint="eastAsia" w:ascii="宋体" w:hAnsi="宋体" w:cs="宋体"/>
          <w:sz w:val="24"/>
          <w:highlight w:val="none"/>
          <w:shd w:val="clear"/>
        </w:rPr>
        <w:t>自合同签订之日起</w:t>
      </w:r>
      <w:r>
        <w:rPr>
          <w:rFonts w:hint="eastAsia" w:ascii="宋体" w:hAnsi="宋体" w:cs="宋体"/>
          <w:sz w:val="24"/>
          <w:highlight w:val="none"/>
          <w:u w:val="single"/>
          <w:shd w:val="clear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highlight w:val="none"/>
          <w:shd w:val="clear"/>
        </w:rPr>
        <w:t>个日历日内到货、安装调试并交付使用</w:t>
      </w:r>
    </w:p>
    <w:p w14:paraId="0534D02D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五、运输方式</w:t>
      </w:r>
    </w:p>
    <w:p w14:paraId="3DC6EE1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0EBE80DF">
      <w:pPr>
        <w:adjustRightInd w:val="0"/>
        <w:snapToGrid w:val="0"/>
        <w:spacing w:line="360" w:lineRule="auto"/>
        <w:ind w:firstLine="480"/>
        <w:rPr>
          <w:rFonts w:hint="eastAsia" w:ascii="宋体" w:hAnsi="宋体" w:cs="宋体"/>
          <w:b w:val="0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  <w:shd w:val="clear"/>
        </w:rPr>
        <w:t>涉及的商品包装和快递包装，均应符合《商品包装政府采购需求标准（试行）》《快递包装政府采购需求标准（试行）》海关等要求，包装应适应于远距离运输、防潮、防震、防锈和防野蛮装卸，以确保货物安全无损运抵指定地点。</w:t>
      </w:r>
    </w:p>
    <w:p w14:paraId="2E99A7A8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六、质量保证</w:t>
      </w:r>
    </w:p>
    <w:p w14:paraId="08846D7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1.乙方提供的产品必须满足招标文件及合同的技术参数要求。</w:t>
      </w:r>
    </w:p>
    <w:p w14:paraId="08040E08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2.乙方保证货物应是全新、未曾使用过的、优质工艺及材料制造的产品，并保证所供设备的完整性（包括满足设备完整运行的附件、备件、配套件、技术手册等）。</w:t>
      </w:r>
    </w:p>
    <w:p w14:paraId="0120006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3.乙方保证所提供的设备质量可靠、进货渠道正规、配置合理、技术性能完全满足招标文件要求。</w:t>
      </w:r>
    </w:p>
    <w:p w14:paraId="4675BAB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4.乙方应随产品提供检验报告等相关材料。</w:t>
      </w:r>
    </w:p>
    <w:p w14:paraId="36AD36B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5.设备</w:t>
      </w:r>
      <w:r>
        <w:rPr>
          <w:rFonts w:hint="eastAsia" w:ascii="宋体" w:hAnsi="宋体" w:cs="宋体"/>
          <w:bCs/>
          <w:sz w:val="24"/>
          <w:highlight w:val="none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3E7F1096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七、质保期与承诺</w:t>
      </w:r>
    </w:p>
    <w:p w14:paraId="28DD36DF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1.设备的质保期为设备验收合格后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年。</w:t>
      </w:r>
    </w:p>
    <w:p w14:paraId="3EB9ABA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2.质保期内，若发生产品质量问题，乙方应免费解决；否则，甲方将乙方列入“政府采购联合惩戒黑名单”，并追究法律责任。</w:t>
      </w:r>
    </w:p>
    <w:p w14:paraId="0BD00707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八、安装、调试及技术服务</w:t>
      </w:r>
    </w:p>
    <w:p w14:paraId="1B689C47">
      <w:pPr>
        <w:adjustRightInd w:val="0"/>
        <w:snapToGrid w:val="0"/>
        <w:spacing w:line="360" w:lineRule="auto"/>
        <w:ind w:firstLine="496" w:firstLineChars="207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1.技术资料包括：出厂检测报告、产品使用说明书、合格证等其它相关资料。</w:t>
      </w:r>
    </w:p>
    <w:p w14:paraId="2202DF6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16E8DD28">
      <w:pPr>
        <w:adjustRightInd w:val="0"/>
        <w:snapToGrid w:val="0"/>
        <w:spacing w:line="360" w:lineRule="auto"/>
        <w:ind w:firstLine="360" w:firstLineChars="15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3.乙方保证设备完全按招标要求提供，若达不到要求，乙方须及时跟甲方沟通协商更换设备，并按照再次验收合格时间相应延长该产品保修期。</w:t>
      </w:r>
    </w:p>
    <w:p w14:paraId="5C666C63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九、违约责任：</w:t>
      </w:r>
    </w:p>
    <w:p w14:paraId="1A926AE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1.按《中华人民共和国民法典》中的相关条款执行。</w:t>
      </w:r>
    </w:p>
    <w:p w14:paraId="28B7BB1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2.若乙方出现不能供货等违约情况，甲方将不退合同金额5%的履约保证金。</w:t>
      </w:r>
    </w:p>
    <w:p w14:paraId="1C52B8C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3.未按合同要求提供产品或设备质量不能满足招标的技术要求，甲方有权终止合同，并保留追究乙方违约责任的权利。</w:t>
      </w:r>
    </w:p>
    <w:p w14:paraId="7EE5FFC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4.因供货期迟延的，乙方按照每天1‰向甲方承担违约责任。</w:t>
      </w:r>
    </w:p>
    <w:p w14:paraId="108EFD0E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5.因产品质量问题违约的，除了按照迟延时间计算违约金外，另可以采取退货、换货等方式，由乙方承担一切费用。</w:t>
      </w:r>
    </w:p>
    <w:p w14:paraId="066D377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十、设备验收</w:t>
      </w:r>
    </w:p>
    <w:p w14:paraId="190218F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1.设备到货后，乙方负责安装调试，达到正常运行条件后书面通知甲方验收。</w:t>
      </w:r>
    </w:p>
    <w:p w14:paraId="52C1D009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2.安装完成后应提供详细的安装报告，并详细记录各种指示的实测数据。</w:t>
      </w:r>
    </w:p>
    <w:p w14:paraId="3B5C2E1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3.提供完整的操作手册和安装、调试、维修手册；提供制造厂家的检验测试报告或设备出厂检测报告。</w:t>
      </w:r>
    </w:p>
    <w:p w14:paraId="711CC1F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4.甲方根据合同要求对设备进行验收、确认设备的产地、规格、型号和数量。验收依据为</w:t>
      </w:r>
      <w:bookmarkStart w:id="0" w:name="_Toc337393760"/>
      <w:r>
        <w:rPr>
          <w:rFonts w:hint="eastAsia" w:ascii="宋体" w:hAnsi="宋体" w:cs="宋体"/>
          <w:sz w:val="24"/>
          <w:highlight w:val="none"/>
        </w:rPr>
        <w:t>本合同文本、招投标文件和国内相应的标准、规范</w:t>
      </w:r>
      <w:bookmarkEnd w:id="0"/>
      <w:bookmarkStart w:id="1" w:name="_Toc337393761"/>
      <w:r>
        <w:rPr>
          <w:rFonts w:hint="eastAsia" w:ascii="宋体" w:hAnsi="宋体" w:cs="宋体"/>
          <w:sz w:val="24"/>
          <w:highlight w:val="none"/>
        </w:rPr>
        <w:t>。</w:t>
      </w:r>
      <w:bookmarkEnd w:id="1"/>
    </w:p>
    <w:p w14:paraId="61BFDDB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5.验收合格后，填写设备验收单，并向甲方提交设备所包含的所有资料，以便使用单位日后管理和维护。</w:t>
      </w:r>
    </w:p>
    <w:p w14:paraId="658B5AAE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6.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               </w:t>
      </w:r>
    </w:p>
    <w:p w14:paraId="7DEB0548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十一、合同争议的解决</w:t>
      </w:r>
    </w:p>
    <w:p w14:paraId="08CED5CE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061E7232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462A9C62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十二、其它事项</w:t>
      </w:r>
    </w:p>
    <w:p w14:paraId="292F6C4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1.甲、乙双方做为合同执行的主体，有义务及时完全履行合同。招标代理机构开瑞项目管理有限公司监督履行。</w:t>
      </w:r>
    </w:p>
    <w:p w14:paraId="40DA33F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2.甲方使用部门代表学校签署合同，并随时监督合同履行情况。</w:t>
      </w:r>
    </w:p>
    <w:p w14:paraId="1864F4B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3.合同未尽事宜，由甲、乙双方协商，协商方案作为本合同不可分割的组成部分，与本合同具有同等法律效力。</w:t>
      </w:r>
    </w:p>
    <w:p w14:paraId="65A23723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4.招标文件和乙方的投标文件以及合同附件均为合同不可分割的部分。</w:t>
      </w:r>
    </w:p>
    <w:p w14:paraId="04A1273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5.合同一式柒份，甲方持伍份、乙方执壹份。双方签字盖章后生效，合同执行完毕自动失效。（合同的服务承诺长期有效）。</w:t>
      </w:r>
    </w:p>
    <w:p w14:paraId="4F5D3D20">
      <w:pPr>
        <w:adjustRightInd w:val="0"/>
        <w:snapToGrid w:val="0"/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highlight w:val="none"/>
        </w:rPr>
        <w:t>6.使用单位收货、验货人员：____________  电话：_______________</w:t>
      </w:r>
      <w:r>
        <w:rPr>
          <w:rFonts w:hint="eastAsia" w:ascii="宋体" w:hAnsi="宋体" w:cs="宋体"/>
          <w:sz w:val="24"/>
          <w:highlight w:val="none"/>
        </w:rPr>
        <w:br w:type="textWrapping"/>
      </w:r>
      <w:r>
        <w:rPr>
          <w:rFonts w:hint="eastAsia" w:ascii="宋体" w:hAnsi="宋体" w:cs="宋体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以下无正文</w:t>
      </w:r>
      <w:r>
        <w:rPr>
          <w:rFonts w:hint="eastAsia" w:ascii="宋体" w:hAnsi="宋体" w:cs="宋体"/>
          <w:sz w:val="24"/>
          <w:highlight w:val="none"/>
          <w:lang w:eastAsia="zh-CN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2F4C6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191D9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甲方：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西安戏剧学院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A9C3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 xml:space="preserve">乙方： </w:t>
            </w:r>
          </w:p>
        </w:tc>
      </w:tr>
      <w:tr w14:paraId="5FA65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D3B19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地址：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西安市西咸新区秦汉新城兰池大道369号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CCF9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地址：</w:t>
            </w:r>
          </w:p>
        </w:tc>
      </w:tr>
      <w:tr w14:paraId="430D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D40D1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代理人（签字或盖章）：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F552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代理人（签字或盖章）：</w:t>
            </w:r>
          </w:p>
        </w:tc>
      </w:tr>
      <w:tr w14:paraId="4CDE6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08C50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40F3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技术确认：</w:t>
            </w:r>
          </w:p>
        </w:tc>
      </w:tr>
      <w:tr w14:paraId="350B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05B8C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C0A57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联系电话：</w:t>
            </w:r>
          </w:p>
        </w:tc>
      </w:tr>
      <w:tr w14:paraId="067B8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1914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开户行：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F8D83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 xml:space="preserve">开户行： </w:t>
            </w:r>
          </w:p>
        </w:tc>
      </w:tr>
      <w:tr w14:paraId="2F41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DD104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账号：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01B60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账号：</w:t>
            </w:r>
          </w:p>
        </w:tc>
      </w:tr>
      <w:tr w14:paraId="751CA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90826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税号：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48FAA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税号：</w:t>
            </w:r>
          </w:p>
        </w:tc>
      </w:tr>
      <w:tr w14:paraId="1CB46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09BD5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日期：     年       月       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7A76C">
            <w:pPr>
              <w:spacing w:line="348" w:lineRule="auto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日期：    年       月       日</w:t>
            </w:r>
          </w:p>
        </w:tc>
      </w:tr>
    </w:tbl>
    <w:p w14:paraId="47AE7E1F">
      <w:pPr>
        <w:snapToGrid w:val="0"/>
        <w:spacing w:line="360" w:lineRule="auto"/>
        <w:rPr>
          <w:highlight w:val="none"/>
        </w:rPr>
      </w:pPr>
    </w:p>
    <w:p w14:paraId="2DE66AF2">
      <w:pPr>
        <w:rPr>
          <w:highlight w:val="none"/>
        </w:rPr>
      </w:pPr>
    </w:p>
    <w:p w14:paraId="00E0A63F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D1F82">
    <w:pPr>
      <w:pStyle w:val="9"/>
      <w:tabs>
        <w:tab w:val="clear" w:pos="4153"/>
        <w:tab w:val="clear" w:pos="8306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EDE27A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EDE27A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20C311"/>
    <w:multiLevelType w:val="singleLevel"/>
    <w:tmpl w:val="7C20C3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DE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标题 1 字符"/>
    <w:link w:val="7"/>
    <w:qFormat/>
    <w:uiPriority w:val="0"/>
    <w:rPr>
      <w:rFonts w:hint="eastAsia" w:ascii="宋体" w:hAnsi="宋体"/>
      <w:b/>
      <w:bCs/>
      <w:kern w:val="44"/>
      <w:sz w:val="48"/>
      <w:szCs w:val="48"/>
    </w:rPr>
  </w:style>
  <w:style w:type="paragraph" w:customStyle="1" w:styleId="7">
    <w:name w:val="标题 11"/>
    <w:basedOn w:val="1"/>
    <w:link w:val="6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2026-03-30T07:57:46Z</dcterms:created>
  <dc:creator>Administrator</dc:creator>
  <cp:lastModifiedBy>开瑞</cp:lastModifiedBy>
  <dcterms:modified xsi:type="dcterms:W3CDTF">2026-03-30T07:58:07Z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509F6DE6B5FB49D3AD7D3A8D983BDD48_12</vt:lpwstr>
  </property>
</Properties>
</file>