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版本号：SXLX26-02-033Z(F)20260401002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省级机关公务用车标识喷涂项目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SXLX26-02-033Z(F)</w:t>
      </w:r>
      <w:r>
        <w:br/>
      </w:r>
      <w:r>
        <w:br/>
      </w:r>
      <w:r>
        <w:br/>
      </w:r>
    </w:p>
    <w:p>
      <w:pPr>
        <w:pStyle w:val="null3"/>
        <w:jc w:val="center"/>
        <w:outlineLvl w:val="2"/>
      </w:pPr>
      <w:r>
        <w:rPr>
          <w:rFonts w:ascii="仿宋_GB2312" w:hAnsi="仿宋_GB2312" w:cs="仿宋_GB2312" w:eastAsia="仿宋_GB2312"/>
          <w:sz w:val="28"/>
          <w:b/>
        </w:rPr>
        <w:t>陕西省机关事务服务中心</w:t>
      </w:r>
    </w:p>
    <w:p>
      <w:pPr>
        <w:pStyle w:val="null3"/>
        <w:jc w:val="center"/>
        <w:outlineLvl w:val="2"/>
      </w:pPr>
      <w:r>
        <w:rPr>
          <w:rFonts w:ascii="仿宋_GB2312" w:hAnsi="仿宋_GB2312" w:cs="仿宋_GB2312" w:eastAsia="仿宋_GB2312"/>
          <w:sz w:val="28"/>
          <w:b/>
        </w:rPr>
        <w:t>陕西隆信项目管理有限公司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陕西省机关事务服务中心</w:t>
      </w:r>
      <w:r>
        <w:rPr>
          <w:rFonts w:ascii="仿宋_GB2312" w:hAnsi="仿宋_GB2312" w:cs="仿宋_GB2312" w:eastAsia="仿宋_GB2312"/>
        </w:rPr>
        <w:t>委托，拟对</w:t>
      </w:r>
      <w:r>
        <w:rPr>
          <w:rFonts w:ascii="仿宋_GB2312" w:hAnsi="仿宋_GB2312" w:cs="仿宋_GB2312" w:eastAsia="仿宋_GB2312"/>
        </w:rPr>
        <w:t>省级机关公务用车标识喷涂项目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SXLX26-02-033Z(F)</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省级机关公务用车标识喷涂项目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陕西省机关事务服务中心省级机关公务用车标识喷涂项目，对陕西省机关事务服务中心公务用车原有标识进行统一规范调整，将原监督电话变更为“029-12345政务服务便民热线”，并按照统一标准完成喷涂作业，车辆共计2324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采购包1（省级机关公务用车标识喷涂项目）：属于专门面向中小企业采购。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陕西省机关事务服务中心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陕西省西安市新城区西新街1号付1号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029-63912658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陕西省西安市雁塔区雁翔路111号赛格·中京坊公寓A一单元二层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魏晴霏、王小琼、任甜、杜航、郑婧婧、王真、梁嘉峰、马彩霞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029-88489979-8205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陕西省财政厅政府采购管理处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开户名称：陕西隆信项目管理有限公司</w:t>
            </w:r>
          </w:p>
          <w:p>
            <w:pPr>
              <w:pStyle w:val="null3"/>
            </w:pPr>
            <w:r>
              <w:rPr>
                <w:rFonts w:ascii="仿宋_GB2312" w:hAnsi="仿宋_GB2312" w:cs="仿宋_GB2312" w:eastAsia="仿宋_GB2312"/>
              </w:rPr>
              <w:t>开户银行：招商银行股份有限公司西安大寨路支行</w:t>
            </w:r>
          </w:p>
          <w:p>
            <w:pPr>
              <w:pStyle w:val="null3"/>
            </w:pPr>
            <w:r>
              <w:rPr>
                <w:rFonts w:ascii="仿宋_GB2312" w:hAnsi="仿宋_GB2312" w:cs="仿宋_GB2312" w:eastAsia="仿宋_GB2312"/>
              </w:rPr>
              <w:t>银行账号：1299 0406 4810 808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代理服务费收费标准：采购代理服务费依据《国家发展改革委关于进一步放开建设项目专业服务价格的通知》（发改价格〔2015〕299号）文件收取8000元整。 请将采购代理服务费汇至下列指定账户： 开户名称：陕西隆信项目管理有限公司 开 户 行：招商银行股份有限公司西安土门支行 账 号：129904064810902 财务部电话：029-88489979-8501 注：此服务费应计入报价中，但不需要单独开列。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陕西省机关事务服务中心</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陕西省机关事务服务中心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陕西省机关事务服务中心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陕西隆信项目管理有限公司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标识喷涂符合统一规范要求；（2）监督电话全部更新为“029-12345”；（3）外观整洁，无损伤；（4）影像资料完整、规范、可追溯；（5）喷涂标识质量及质保期约定符合磋商文件要求；（6）经采购人验收合格后方可结算。</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联系人：李辉</w:t>
      </w:r>
    </w:p>
    <w:p>
      <w:pPr>
        <w:pStyle w:val="null3"/>
      </w:pPr>
      <w:r>
        <w:rPr>
          <w:rFonts w:ascii="仿宋_GB2312" w:hAnsi="仿宋_GB2312" w:cs="仿宋_GB2312" w:eastAsia="仿宋_GB2312"/>
        </w:rPr>
        <w:t>联系电话：029-63912658</w:t>
      </w:r>
    </w:p>
    <w:p>
      <w:pPr>
        <w:pStyle w:val="null3"/>
      </w:pPr>
      <w:r>
        <w:rPr>
          <w:rFonts w:ascii="仿宋_GB2312" w:hAnsi="仿宋_GB2312" w:cs="仿宋_GB2312" w:eastAsia="仿宋_GB2312"/>
        </w:rPr>
        <w:t>地址：陕西省西安市新城区西新街1号付1号</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陕西省机关事务服务中心省级机关公务用车标识喷涂项目，对陕西省机关事务服务中心公务用车原有标识进行统一规范调整，将原监督电话变更为“029-12345政务服务便民热线”，并按照统一标准完成喷涂作业，车辆共计2324辆。</w:t>
      </w:r>
    </w:p>
    <w:p>
      <w:pPr>
        <w:pStyle w:val="null3"/>
      </w:pPr>
      <w:r>
        <w:rPr>
          <w:rFonts w:ascii="仿宋_GB2312" w:hAnsi="仿宋_GB2312" w:cs="仿宋_GB2312" w:eastAsia="仿宋_GB2312"/>
        </w:rPr>
        <w:t>本项目所属行业为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省级机关公务用车标识喷涂</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标的名称：省级机关公务用车标识喷涂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right="-195" w:firstLine="422"/>
              <w:jc w:val="both"/>
            </w:pPr>
            <w:r>
              <w:rPr>
                <w:rFonts w:ascii="仿宋_GB2312" w:hAnsi="仿宋_GB2312" w:cs="仿宋_GB2312" w:eastAsia="仿宋_GB2312"/>
                <w:sz w:val="21"/>
                <w:b/>
                <w:color w:val="000000"/>
                <w:shd w:fill="FFFFFF" w:val="clear"/>
              </w:rPr>
              <w:t>一、服务内容与要求</w:t>
            </w:r>
          </w:p>
          <w:p>
            <w:pPr>
              <w:pStyle w:val="null3"/>
              <w:ind w:firstLine="338"/>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服务内容</w:t>
            </w:r>
          </w:p>
          <w:p>
            <w:pPr>
              <w:pStyle w:val="null3"/>
              <w:ind w:firstLine="338"/>
              <w:jc w:val="left"/>
            </w:pP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需完成以下工作：</w:t>
            </w:r>
          </w:p>
          <w:p>
            <w:pPr>
              <w:pStyle w:val="null3"/>
              <w:ind w:firstLine="338"/>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按采购人要求对车辆标识进行喷涂调整；</w:t>
            </w:r>
          </w:p>
          <w:p>
            <w:pPr>
              <w:pStyle w:val="null3"/>
              <w:ind w:firstLine="338"/>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将车辆原有标识中的监督电话统一修改为</w:t>
            </w:r>
            <w:r>
              <w:rPr>
                <w:rFonts w:ascii="仿宋_GB2312" w:hAnsi="仿宋_GB2312" w:cs="仿宋_GB2312" w:eastAsia="仿宋_GB2312"/>
                <w:sz w:val="21"/>
                <w:color w:val="000000"/>
              </w:rPr>
              <w:t>“</w:t>
            </w:r>
            <w:r>
              <w:rPr>
                <w:rFonts w:ascii="仿宋_GB2312" w:hAnsi="仿宋_GB2312" w:cs="仿宋_GB2312" w:eastAsia="仿宋_GB2312"/>
                <w:sz w:val="21"/>
                <w:color w:val="000000"/>
              </w:rPr>
              <w:t>029-</w:t>
            </w:r>
            <w:r>
              <w:rPr>
                <w:rFonts w:ascii="仿宋_GB2312" w:hAnsi="仿宋_GB2312" w:cs="仿宋_GB2312" w:eastAsia="仿宋_GB2312"/>
                <w:sz w:val="21"/>
                <w:color w:val="000000"/>
              </w:rPr>
              <w:t>12345”；</w:t>
            </w:r>
          </w:p>
          <w:p>
            <w:pPr>
              <w:pStyle w:val="null3"/>
              <w:ind w:firstLine="338"/>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提供集中喷涂服务（由采购人统一调度）。</w:t>
            </w:r>
          </w:p>
          <w:p>
            <w:pPr>
              <w:pStyle w:val="null3"/>
              <w:ind w:firstLine="338"/>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影像资料及数据报送要求</w:t>
            </w:r>
          </w:p>
          <w:p>
            <w:pPr>
              <w:pStyle w:val="null3"/>
              <w:ind w:firstLine="338"/>
              <w:jc w:val="left"/>
            </w:pP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需按以下要求留存和报送资料：</w:t>
            </w:r>
          </w:p>
          <w:p>
            <w:pPr>
              <w:pStyle w:val="null3"/>
              <w:ind w:firstLine="338"/>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每辆车喷涂完成后，需拍摄车辆前、后、左、右四个方向照片；</w:t>
            </w:r>
          </w:p>
          <w:p>
            <w:pPr>
              <w:pStyle w:val="null3"/>
              <w:ind w:firstLine="338"/>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照片</w:t>
            </w:r>
            <w:r>
              <w:rPr>
                <w:rFonts w:ascii="仿宋_GB2312" w:hAnsi="仿宋_GB2312" w:cs="仿宋_GB2312" w:eastAsia="仿宋_GB2312"/>
                <w:sz w:val="21"/>
                <w:color w:val="000000"/>
              </w:rPr>
              <w:t>需</w:t>
            </w:r>
            <w:r>
              <w:rPr>
                <w:rFonts w:ascii="仿宋_GB2312" w:hAnsi="仿宋_GB2312" w:cs="仿宋_GB2312" w:eastAsia="仿宋_GB2312"/>
                <w:sz w:val="21"/>
                <w:color w:val="000000"/>
              </w:rPr>
              <w:t>清晰显示标识喷涂效果及车牌信息；</w:t>
            </w:r>
          </w:p>
          <w:p>
            <w:pPr>
              <w:pStyle w:val="null3"/>
              <w:ind w:firstLine="338"/>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按采购人提供的统一模板进行命名及整理；</w:t>
            </w:r>
          </w:p>
          <w:p>
            <w:pPr>
              <w:pStyle w:val="null3"/>
              <w:ind w:firstLine="338"/>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按批次打包整理后，发送至采购人指定邮箱；</w:t>
            </w:r>
          </w:p>
          <w:p>
            <w:pPr>
              <w:pStyle w:val="null3"/>
              <w:ind w:firstLine="338"/>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所有影像资料应真实、完整，不得篡改或遗漏。</w:t>
            </w:r>
          </w:p>
          <w:p>
            <w:pPr>
              <w:pStyle w:val="null3"/>
              <w:ind w:firstLine="338"/>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）关于</w:t>
            </w:r>
            <w:r>
              <w:rPr>
                <w:rFonts w:ascii="仿宋_GB2312" w:hAnsi="仿宋_GB2312" w:cs="仿宋_GB2312" w:eastAsia="仿宋_GB2312"/>
                <w:sz w:val="21"/>
                <w:color w:val="000000"/>
              </w:rPr>
              <w:t>统一收录车辆照片的</w:t>
            </w:r>
            <w:r>
              <w:rPr>
                <w:rFonts w:ascii="仿宋_GB2312" w:hAnsi="仿宋_GB2312" w:cs="仿宋_GB2312" w:eastAsia="仿宋_GB2312"/>
                <w:sz w:val="21"/>
                <w:color w:val="000000"/>
              </w:rPr>
              <w:t>具体</w:t>
            </w:r>
            <w:r>
              <w:rPr>
                <w:rFonts w:ascii="仿宋_GB2312" w:hAnsi="仿宋_GB2312" w:cs="仿宋_GB2312" w:eastAsia="仿宋_GB2312"/>
                <w:sz w:val="21"/>
                <w:color w:val="000000"/>
              </w:rPr>
              <w:t>规范要求</w:t>
            </w:r>
            <w:r>
              <w:rPr>
                <w:rFonts w:ascii="仿宋_GB2312" w:hAnsi="仿宋_GB2312" w:cs="仿宋_GB2312" w:eastAsia="仿宋_GB2312"/>
                <w:sz w:val="21"/>
                <w:color w:val="000000"/>
              </w:rPr>
              <w:t>详见合</w:t>
            </w:r>
            <w:r>
              <w:rPr>
                <w:rFonts w:ascii="仿宋_GB2312" w:hAnsi="仿宋_GB2312" w:cs="仿宋_GB2312" w:eastAsia="仿宋_GB2312"/>
                <w:sz w:val="21"/>
                <w:color w:val="000000"/>
              </w:rPr>
              <w:t>同附件</w:t>
            </w:r>
            <w:r>
              <w:rPr>
                <w:rFonts w:ascii="仿宋_GB2312" w:hAnsi="仿宋_GB2312" w:cs="仿宋_GB2312" w:eastAsia="仿宋_GB2312"/>
                <w:sz w:val="21"/>
                <w:color w:val="000000"/>
              </w:rPr>
              <w:t>1。</w:t>
            </w:r>
          </w:p>
          <w:p>
            <w:pPr>
              <w:pStyle w:val="null3"/>
              <w:ind w:firstLine="338"/>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质量与安全要求</w:t>
            </w:r>
          </w:p>
          <w:p>
            <w:pPr>
              <w:pStyle w:val="null3"/>
              <w:ind w:firstLine="338"/>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喷涂应规范、美观、牢固，不得出现脱落、模糊、色差明显等问题；</w:t>
            </w:r>
          </w:p>
          <w:p>
            <w:pPr>
              <w:pStyle w:val="null3"/>
              <w:ind w:firstLine="338"/>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不得损伤车辆原有车漆及外观结构；</w:t>
            </w:r>
          </w:p>
          <w:p>
            <w:pPr>
              <w:pStyle w:val="null3"/>
              <w:ind w:firstLine="338"/>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3）若在喷涂过程中造成车辆车漆或其他部位损坏，由供应商无偿负责修复；</w:t>
            </w:r>
          </w:p>
          <w:p>
            <w:pPr>
              <w:pStyle w:val="null3"/>
              <w:ind w:firstLine="338"/>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4）修复标准须达到原厂或采购人认可标准；</w:t>
            </w:r>
          </w:p>
          <w:p>
            <w:pPr>
              <w:pStyle w:val="null3"/>
              <w:ind w:firstLine="338"/>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5）由此产生的一切费用由供应商承担，采购人不承担任何费用。</w:t>
            </w:r>
          </w:p>
          <w:p>
            <w:pPr>
              <w:pStyle w:val="null3"/>
              <w:ind w:firstLine="338"/>
              <w:jc w:val="left"/>
            </w:pPr>
            <w:r>
              <w:rPr>
                <w:rFonts w:ascii="仿宋_GB2312" w:hAnsi="仿宋_GB2312" w:cs="仿宋_GB2312" w:eastAsia="仿宋_GB2312"/>
                <w:sz w:val="21"/>
                <w:color w:val="000000"/>
              </w:rPr>
              <w:t>4.管理措施及制度</w:t>
            </w:r>
          </w:p>
          <w:p>
            <w:pPr>
              <w:pStyle w:val="null3"/>
              <w:ind w:firstLine="338"/>
              <w:jc w:val="left"/>
            </w:pPr>
            <w:r>
              <w:rPr>
                <w:rFonts w:ascii="仿宋_GB2312" w:hAnsi="仿宋_GB2312" w:cs="仿宋_GB2312" w:eastAsia="仿宋_GB2312"/>
                <w:sz w:val="21"/>
                <w:color w:val="000000"/>
              </w:rPr>
              <w:t>供应商根据本项目服务内容和要求，制定合理的管理措施及制度：（</w:t>
            </w:r>
            <w:r>
              <w:rPr>
                <w:rFonts w:ascii="仿宋_GB2312" w:hAnsi="仿宋_GB2312" w:cs="仿宋_GB2312" w:eastAsia="仿宋_GB2312"/>
                <w:sz w:val="21"/>
                <w:color w:val="000000"/>
              </w:rPr>
              <w:t>1）岗位管理制度；（2）工作内容自查制度；（3）工作质量标准。</w:t>
            </w:r>
          </w:p>
          <w:p>
            <w:pPr>
              <w:pStyle w:val="null3"/>
              <w:ind w:right="-195" w:firstLine="422"/>
              <w:jc w:val="both"/>
            </w:pPr>
            <w:r>
              <w:rPr>
                <w:rFonts w:ascii="仿宋_GB2312" w:hAnsi="仿宋_GB2312" w:cs="仿宋_GB2312" w:eastAsia="仿宋_GB2312"/>
                <w:sz w:val="21"/>
                <w:b/>
                <w:color w:val="000000"/>
                <w:shd w:fill="FFFFFF" w:val="clear"/>
              </w:rPr>
              <w:t>二、商务要求</w:t>
            </w:r>
          </w:p>
          <w:p>
            <w:pPr>
              <w:pStyle w:val="null3"/>
              <w:ind w:firstLine="338"/>
              <w:jc w:val="left"/>
            </w:pPr>
            <w:r>
              <w:rPr>
                <w:rFonts w:ascii="仿宋_GB2312" w:hAnsi="仿宋_GB2312" w:cs="仿宋_GB2312" w:eastAsia="仿宋_GB2312"/>
                <w:sz w:val="21"/>
                <w:color w:val="000000"/>
              </w:rPr>
              <w:t>1.本项目单价最高限价为129元/辆，</w:t>
            </w:r>
            <w:r>
              <w:rPr>
                <w:rFonts w:ascii="仿宋_GB2312" w:hAnsi="仿宋_GB2312" w:cs="仿宋_GB2312" w:eastAsia="仿宋_GB2312"/>
                <w:sz w:val="21"/>
                <w:color w:val="000000"/>
              </w:rPr>
              <w:t>供应商的</w:t>
            </w:r>
            <w:r>
              <w:rPr>
                <w:rFonts w:ascii="仿宋_GB2312" w:hAnsi="仿宋_GB2312" w:cs="仿宋_GB2312" w:eastAsia="仿宋_GB2312"/>
                <w:sz w:val="21"/>
                <w:color w:val="000000"/>
              </w:rPr>
              <w:t>单价</w:t>
            </w:r>
            <w:r>
              <w:rPr>
                <w:rFonts w:ascii="仿宋_GB2312" w:hAnsi="仿宋_GB2312" w:cs="仿宋_GB2312" w:eastAsia="仿宋_GB2312"/>
                <w:sz w:val="21"/>
                <w:color w:val="000000"/>
              </w:rPr>
              <w:t>报价高于最高限价的，其响应文件将按无效处理。</w:t>
            </w:r>
            <w:r>
              <w:rPr>
                <w:rFonts w:ascii="仿宋_GB2312" w:hAnsi="仿宋_GB2312" w:cs="仿宋_GB2312" w:eastAsia="仿宋_GB2312"/>
                <w:sz w:val="21"/>
                <w:color w:val="000000"/>
              </w:rPr>
              <w:t>（</w:t>
            </w:r>
            <w:r>
              <w:rPr>
                <w:rFonts w:ascii="仿宋_GB2312" w:hAnsi="仿宋_GB2312" w:cs="仿宋_GB2312" w:eastAsia="仿宋_GB2312"/>
                <w:sz w:val="21"/>
                <w:color w:val="000000"/>
              </w:rPr>
              <w:t>单价报价在商务技术文件分项报价明细表中体现</w:t>
            </w:r>
            <w:r>
              <w:rPr>
                <w:rFonts w:ascii="仿宋_GB2312" w:hAnsi="仿宋_GB2312" w:cs="仿宋_GB2312" w:eastAsia="仿宋_GB2312"/>
                <w:sz w:val="21"/>
                <w:color w:val="000000"/>
              </w:rPr>
              <w:t>）</w:t>
            </w:r>
          </w:p>
          <w:p>
            <w:pPr>
              <w:pStyle w:val="null3"/>
              <w:ind w:firstLine="338"/>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质保</w:t>
            </w:r>
            <w:r>
              <w:rPr>
                <w:rFonts w:ascii="仿宋_GB2312" w:hAnsi="仿宋_GB2312" w:cs="仿宋_GB2312" w:eastAsia="仿宋_GB2312"/>
                <w:sz w:val="21"/>
                <w:color w:val="000000"/>
              </w:rPr>
              <w:t>期</w:t>
            </w:r>
            <w:r>
              <w:rPr>
                <w:rFonts w:ascii="仿宋_GB2312" w:hAnsi="仿宋_GB2312" w:cs="仿宋_GB2312" w:eastAsia="仿宋_GB2312"/>
                <w:sz w:val="21"/>
                <w:color w:val="000000"/>
              </w:rPr>
              <w:t>：喷涂标识设置一年质保期，质保期内标识不得出现自然脱落、开裂、褪色等质量问题，若出现上述问题，</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需在</w:t>
            </w:r>
            <w:r>
              <w:rPr>
                <w:rFonts w:ascii="仿宋_GB2312" w:hAnsi="仿宋_GB2312" w:cs="仿宋_GB2312" w:eastAsia="仿宋_GB2312"/>
                <w:sz w:val="21"/>
                <w:color w:val="000000"/>
              </w:rPr>
              <w:t>7天内免费重新喷涂，并承担全部相关费用，重新喷涂后质保期重新计算</w:t>
            </w:r>
            <w:r>
              <w:rPr>
                <w:rFonts w:ascii="仿宋_GB2312" w:hAnsi="仿宋_GB2312" w:cs="仿宋_GB2312" w:eastAsia="仿宋_GB2312"/>
                <w:sz w:val="21"/>
                <w:color w:val="000000"/>
              </w:rPr>
              <w:t>，</w:t>
            </w:r>
            <w:r>
              <w:rPr>
                <w:rFonts w:ascii="仿宋_GB2312" w:hAnsi="仿宋_GB2312" w:cs="仿宋_GB2312" w:eastAsia="仿宋_GB2312"/>
                <w:sz w:val="21"/>
                <w:color w:val="000000"/>
              </w:rPr>
              <w:t>质保期具体时长由采购人根据项目实际情况确定，</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须严格遵照执行</w:t>
            </w:r>
            <w:r>
              <w:rPr>
                <w:rFonts w:ascii="仿宋_GB2312" w:hAnsi="仿宋_GB2312" w:cs="仿宋_GB2312" w:eastAsia="仿宋_GB2312"/>
                <w:sz w:val="21"/>
                <w:color w:val="000000"/>
              </w:rPr>
              <w:t>。</w:t>
            </w:r>
          </w:p>
          <w:p>
            <w:pPr>
              <w:pStyle w:val="null3"/>
              <w:ind w:firstLine="338"/>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本项目由采购人统一组织实施和调度。</w:t>
            </w:r>
          </w:p>
          <w:p>
            <w:pPr>
              <w:pStyle w:val="null3"/>
              <w:ind w:firstLine="338"/>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.供应商应充分考虑项目分散、批次多等实际情况，合理规划服务方案。</w:t>
            </w:r>
          </w:p>
          <w:p>
            <w:pPr>
              <w:pStyle w:val="null3"/>
            </w:pPr>
            <w:r>
              <w:rPr>
                <w:rFonts w:ascii="仿宋_GB2312" w:hAnsi="仿宋_GB2312" w:cs="仿宋_GB2312" w:eastAsia="仿宋_GB2312"/>
                <w:sz w:val="21"/>
              </w:rPr>
              <w:t xml:space="preserve">  5</w:t>
            </w:r>
            <w:r>
              <w:rPr>
                <w:rFonts w:ascii="仿宋_GB2312" w:hAnsi="仿宋_GB2312" w:cs="仿宋_GB2312" w:eastAsia="仿宋_GB2312"/>
                <w:sz w:val="21"/>
              </w:rPr>
              <w:t>.未尽事宜按国家及陕西省政府采购相关法律法规、政策规定执行，由双方协商补充并签订书面协议。</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对本项目所配备人员数量合理、经验丰富。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根据采购内容匹配相关设备，如喷枪类设备、辅助喷涂设备、测量与定位设备、表面处理设备、安全防护设备等。</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自合同签订之日起至2026年5月31日止。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标识喷涂符合统一规范要求；（2）监督电话全部更新为“029-12345”；（3）外观整洁，无损伤；（4）影像资料完整、规范、可追溯；（5）喷涂标识质量及质保期约定符合磋商文件要求；（6）经采购人验收合格后方可结算。</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经采购人验收合格后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成交供应商在领取成交通知书时提供纸质版响应文件2套，应通过专用制作软件直接打印，确保与电子投标文件保持一致，不允许修改和补充。提交地点：陕西省西安市雁塔区雁翔路111号赛格·中京坊公寓A一单元二层招标二部。 二、供应商的磋商报价是供应商响应磋商项目要求的全部工作内容的价格体现，包括供应商完成本项目所需的直接费、间接费、利润、税金及其他相关的一切费用。包括但不限于：人工费、材料费、设备费、运输费、喷涂费、风险费用、维护费、检测费、管理费、验收费、采购代理服务费、利润和税金、其他费用等全部费用。在提供服务的过程中的任何遗漏，均由成交供应商免费提供，采购人将不再支付任何费用。 三、磋商有效期 1.出现特殊情况需要延长磋商有效期的，采购代理机构或采购人可于磋商有效期满之前，以书面形式通知所有供应商延长磋商有效期。供应商应予以书面答复，同意延长的，应相应延长其磋商保证金有效期，但不得要求或被允许修改其响应文件；供应商拒绝延长的，其响应文件失效，递交磋商保证金的，供应商有权收回其磋商保证金。 2.在磋商有效期内，供应商撤销响应文件的，应承担磋商文件和法律规定的责任。 3.成交供应商的磋商有效期自动延长至合同终止为止。 四、合格供应商少于3家的处理 1.评审过程中，若出现合格供应商只有2家时，符合《政府采购竞争性磋商采购方式管理暂行办法》第3条第4项情形的，或者本项目为政府购买服务指导性目录中的，可以继续进行；只有1家时，采购人应依法重新组织采购活动。2.评审过程中，除符合第1条规定情形外，若出现合格供应商少于3家时，采购人应依法重新组织采购活动。 五、分公司独立参与磋商时，不能使用总公司的资质或业绩；总公司授权分公司或分支机构参与磋商，可以使用总公司的资质或业绩。总公司单独参与磋商时，可以使用分公司的业绩，在相关资质证书的管理要求和适用范围内可以使用分公司资质。 六、恶意质疑、投诉的法律后果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（1）《中华人民共和国刑法》第243条【诬告陷害罪】捏造事实诬告陷害他人，意图使他人受到刑事追究，情节严重的，处三年以下有期徒刑、拘役或者管制；造成严重后果的，处三年以上十年以下有期徒刑。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七、签名是指手写签名或者加盖名章(含电子签名或电子印章)，盖章是指加盖单位印章。 八、资格审查小组说明：1、根据《中华人民共和国政府采购法》第二十三条规定，采购人应依法对供应商的资格进行审查。经采购人授权，资格审查工作可由资格审查小组完成。2、资格审查小组，由经采购人授权的采购人代表和采购代理机构工作人员组成，由采购代理机构项目经理担任资格审查小组组长。3、资格审查小组成立后，全体小组成员应当在签到表中签到。 九、关于采购文件一次报价出现下列情况的，不需要供应商澄清，按以下原则处理： 1.报价中的大写金额和小写金额不一致的，以大写金额为准，但大写金额出现文字错误，导致金额无法判断的除外； 2.单价金额小数点或者百分比有明显错位的，应以总价为准，并修改单价； 3.总价金额与按单价汇总金额不一致的，以单价汇总金额计算结果为准。同时出现两种以上不一致的，按照前款规定的顺序修正。修正后的报价经加盖供应商(法定名称)电子印章后产生约束力，供应商不确认的，其报价无效。 十、最终报价如出现异常低价，执行财库〔2026〕2号《关于推动解决政府采购异常低价问题的通知》，磋商小组可在最后报价审查表中审核是否通过审查。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响应函</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供应商的营业执照等证明文件，自然人的身份证明文件。</w:t>
            </w:r>
          </w:p>
        </w:tc>
        <w:tc>
          <w:tcPr>
            <w:tcW w:type="dxa" w:w="3322"/>
          </w:tcPr>
          <w:p>
            <w:pPr>
              <w:pStyle w:val="null3"/>
            </w:pPr>
            <w:r>
              <w:rPr>
                <w:rFonts w:ascii="仿宋_GB2312" w:hAnsi="仿宋_GB2312" w:cs="仿宋_GB2312" w:eastAsia="仿宋_GB2312"/>
              </w:rPr>
              <w:t>根据“资格证明文件”中提供的要求和说明，提供符合自身条件且合法有效的主体资格证明材料。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参加磋商的，提供本人身份证复印件；法定代表人（单位负责人）授权他人参加磋商的，提供法定代表人（单位负责人）委托授权书及被授权代表的身份证复印件。按照电子化全流程要求，投标（响应）文件递交时，签到的人员信息应为法定代表人或授权委托人。</w:t>
            </w:r>
          </w:p>
        </w:tc>
        <w:tc>
          <w:tcPr>
            <w:tcW w:type="dxa" w:w="3322"/>
          </w:tcPr>
          <w:p>
            <w:pPr>
              <w:pStyle w:val="null3"/>
            </w:pPr>
            <w:r>
              <w:rPr>
                <w:rFonts w:ascii="仿宋_GB2312" w:hAnsi="仿宋_GB2312" w:cs="仿宋_GB2312" w:eastAsia="仿宋_GB2312"/>
              </w:rPr>
              <w:t>根据“资格证明文件”中提供的格式和说明，提供符合自身条件的证明材料。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根据“资格证明文件”中提供的要求和说明，提供符合自身条件且合法有效的财务状况证明材料。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根据“资格证明文件”中提供的格式和说明，提供符合自身条件的证明材料。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根据“资格证明文件”中提供的格式和说明，提供符合自身条件的证明材料。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具备履行合同所必需的设备和专业技术能力的证明。</w:t>
            </w:r>
          </w:p>
        </w:tc>
        <w:tc>
          <w:tcPr>
            <w:tcW w:type="dxa" w:w="3322"/>
          </w:tcPr>
          <w:p>
            <w:pPr>
              <w:pStyle w:val="null3"/>
            </w:pPr>
            <w:r>
              <w:rPr>
                <w:rFonts w:ascii="仿宋_GB2312" w:hAnsi="仿宋_GB2312" w:cs="仿宋_GB2312" w:eastAsia="仿宋_GB2312"/>
              </w:rPr>
              <w:t>按采购文件提供的格式进行响应声明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参加本次磋商前3年内，在经营活动中没有重大违法记录的书面声明。</w:t>
            </w:r>
          </w:p>
        </w:tc>
        <w:tc>
          <w:tcPr>
            <w:tcW w:type="dxa" w:w="3322"/>
          </w:tcPr>
          <w:p>
            <w:pPr>
              <w:pStyle w:val="null3"/>
            </w:pPr>
            <w:r>
              <w:rPr>
                <w:rFonts w:ascii="仿宋_GB2312" w:hAnsi="仿宋_GB2312" w:cs="仿宋_GB2312" w:eastAsia="仿宋_GB2312"/>
              </w:rPr>
              <w:t>按采购文件提供的格式进行响应声明。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采购代理机构将于本项目磋商文件递交截止日“信用中国”“中国政府采购网”对供应商进行信用记录查询。对列入重大税收违法失信主体，或处于“政府采购严重违法失信行为信息记录”名单中的供应商，将拒绝其参与政府采购活动。</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商务技术文件.docx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响应文件上法定代表人（单位负责人）或其委托代理人的签名齐全并加盖单位公章。</w:t>
            </w:r>
          </w:p>
        </w:tc>
        <w:tc>
          <w:tcPr>
            <w:tcW w:type="dxa" w:w="1661"/>
          </w:tcPr>
          <w:p>
            <w:pPr>
              <w:pStyle w:val="null3"/>
            </w:pPr>
            <w:r>
              <w:rPr>
                <w:rFonts w:ascii="仿宋_GB2312" w:hAnsi="仿宋_GB2312" w:cs="仿宋_GB2312" w:eastAsia="仿宋_GB2312"/>
              </w:rPr>
              <w:t>响应文件封面 中小企业声明函 残疾人福利性单位声明函 商务技术文件.docx 标的清单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响应文件封面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只能有一个有效报价，不得提交选择性报价，且报价不超过第二章“供应商须知”前附表规定的采购预算金额或最高限价（或单价最高限价）。</w:t>
            </w:r>
          </w:p>
        </w:tc>
        <w:tc>
          <w:tcPr>
            <w:tcW w:type="dxa" w:w="1661"/>
          </w:tcPr>
          <w:p>
            <w:pPr>
              <w:pStyle w:val="null3"/>
            </w:pPr>
            <w:r>
              <w:rPr>
                <w:rFonts w:ascii="仿宋_GB2312" w:hAnsi="仿宋_GB2312" w:cs="仿宋_GB2312" w:eastAsia="仿宋_GB2312"/>
              </w:rPr>
              <w:t>响应文件封面 商务技术文件.docx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 （5）不同供应商的响应文件相互混装。</w:t>
            </w:r>
          </w:p>
        </w:tc>
        <w:tc>
          <w:tcPr>
            <w:tcW w:type="dxa" w:w="1661"/>
          </w:tcPr>
          <w:p>
            <w:pPr>
              <w:pStyle w:val="null3"/>
            </w:pPr>
            <w:r>
              <w:rPr>
                <w:rFonts w:ascii="仿宋_GB2312" w:hAnsi="仿宋_GB2312" w:cs="仿宋_GB2312" w:eastAsia="仿宋_GB2312"/>
              </w:rPr>
              <w:t>响应文件封面 商务技术文件.docx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响应文件封面 商务技术文件.docx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商务技术文件.docx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根据本项目采购需求提供整体服务方案，包括但不限于：1.按采购人要求对车辆标识进行喷涂调整；2.将车辆原有标识中的监督电话统一修改为“029-12345”；3.提供集中喷涂服务；4.充分考虑项目分散、批次多等实际情况，合理规划服务方案。所提供方案全面完善，具有很强的合理性和可操作性。 二、评分标准 每提供一项计4分，最高计16分。每有一处内容存在缺陷扣1分，扣完为止，未提供或提供的内容与本项目不符计0分。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供应商具备200平方米以上独立作业场地，并提供证明材料，计3分，未提供计0分。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影像资料及数据报送方案</w:t>
            </w:r>
          </w:p>
        </w:tc>
        <w:tc>
          <w:tcPr>
            <w:tcW w:type="dxa" w:w="2492"/>
          </w:tcPr>
          <w:p>
            <w:pPr>
              <w:pStyle w:val="null3"/>
            </w:pPr>
            <w:r>
              <w:rPr>
                <w:rFonts w:ascii="仿宋_GB2312" w:hAnsi="仿宋_GB2312" w:cs="仿宋_GB2312" w:eastAsia="仿宋_GB2312"/>
              </w:rPr>
              <w:t>一、评审内容 供应商根据本项目采购需求提供影像资料及数据报送方案，包括但不限于：1.每辆车喷涂完成后，需拍摄车辆前、后、左、右四个方向照片；2.照片须清晰显示标识喷涂效果及车牌信息；3.按采购人提供的统一模板进行命名及整理，按批次打包整理后，发送至采购人指定邮箱；4.所有影像资料应真实、完整，不得篡改或遗漏。所提供方案全面完善，具有很强的合理性和可操作性。 二、评分标准 每提供一项计3分，最高计12分。每有一处内容存在缺陷扣1分，扣完为止，未提供或提供的内容与本项目不符计0分。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供应商根据本项目采购需求提供质量与安全保障方案，包括但不限于：1.喷涂应规范、美观、牢固，不得出现脱落、模糊、色差明显等问题；2.不得损伤车辆原有车漆及外观结构；3.若在喷涂过程中造成车辆车漆或其他部位损坏，由供应商无偿负责修复，修复标准须达到原厂或采购人认可标准。所提供方案全面完善，具有很强的合理性和可操作性。 二、评分标准 每提供一项计2分，最高计6分。每有一处内容存在缺陷扣1分，扣完为止，未提供或提供的内容与本项目不符计0分。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一、评审内容 针对本项目采购需求提供人员配置方案，包括但不限于：1.所配备人员数量合理，岗位职责分明；2.安全管理员、质量检验员配置齐全。所提供方案全面完善，具有很强的合理性和可操作性。 二、评分标准 每提供一项计3分，最高计6分。每有一处内容存在缺陷扣1分，扣完为止，未提供或提供的内容与本项目不符计0分。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管理措施及制度</w:t>
            </w:r>
          </w:p>
        </w:tc>
        <w:tc>
          <w:tcPr>
            <w:tcW w:type="dxa" w:w="2492"/>
          </w:tcPr>
          <w:p>
            <w:pPr>
              <w:pStyle w:val="null3"/>
            </w:pPr>
            <w:r>
              <w:rPr>
                <w:rFonts w:ascii="仿宋_GB2312" w:hAnsi="仿宋_GB2312" w:cs="仿宋_GB2312" w:eastAsia="仿宋_GB2312"/>
              </w:rPr>
              <w:t>一、评审内容 供应商根据本项目服务内容和要求，制定合理的管理措施及制度，包括但不限于：1.岗位管理制度；2.工作内容自查制度；3.工作质量标准。所提供方案全面完善，具有很强的合理性和可操作性。 二、评分标准 每提供一项计3分，最高计9分。每有一处内容存在缺陷扣1分，扣完为止，未提供或提供的内容与本项目不符计0分。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安全文明实施方案</w:t>
            </w:r>
          </w:p>
        </w:tc>
        <w:tc>
          <w:tcPr>
            <w:tcW w:type="dxa" w:w="2492"/>
          </w:tcPr>
          <w:p>
            <w:pPr>
              <w:pStyle w:val="null3"/>
            </w:pPr>
            <w:r>
              <w:rPr>
                <w:rFonts w:ascii="仿宋_GB2312" w:hAnsi="仿宋_GB2312" w:cs="仿宋_GB2312" w:eastAsia="仿宋_GB2312"/>
              </w:rPr>
              <w:t>一、评审内容 针对本项目提供安全文明实施方案，包括但不限于：1.防火、防爆、防触电、防中毒安全措施；2.施工期间车辆防护（防划伤、防污损）措施；3.废气、噪声、固废符合环保要求；4.现场管理规范、文明施工。所提供方案全面完善，具有很强的合理性和可操作性。 二、评分标准 每提供一项计2.5分，最高计10分。每有一处内容存在缺陷扣1分，扣完为止，未提供或提供的内容与本项目不符计0分。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应急保障能力</w:t>
            </w:r>
          </w:p>
        </w:tc>
        <w:tc>
          <w:tcPr>
            <w:tcW w:type="dxa" w:w="2492"/>
          </w:tcPr>
          <w:p>
            <w:pPr>
              <w:pStyle w:val="null3"/>
            </w:pPr>
            <w:r>
              <w:rPr>
                <w:rFonts w:ascii="仿宋_GB2312" w:hAnsi="仿宋_GB2312" w:cs="仿宋_GB2312" w:eastAsia="仿宋_GB2312"/>
              </w:rPr>
              <w:t>一、评审内容 针对本项目服务过程中可能出现的突发状况提供应急保障措施，包括但不限于：1.如有重大活动、紧急任务加急喷涂响应方案；2.突发天气、设备故障应急预案；3.车辆调度、错峰施工保障方案。所提供方案全面完善，具有很强的合理性和可操作性。 二、评分标准 每提供一项计3分，最高计9分。每有一处内容存在缺陷扣1分，扣完为止，未提供或提供的内容与本项目不符计0分。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针对本项目提供售后服务方案，包括但不限于：1.标识脱落、起皮、开裂、褪色、免费补喷、修复等；2.服务响应时间：市区2小时内响应，一般问题24 小时内解决；3.保证服务质量稳定。所提供方案全面完善，具有很强的合理性和可操作性。 二、评分标准 每提供一项计3分，最高计9分。每有一处内容存在缺陷扣1分，扣完为止，未提供或提供的内容与本项目不符计0分。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提供2022年1月1日至今（以合同签订日期为准）的同类项目业绩（以合同复印件为依据），每提供1个计2分，最高计10分。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 财库〔2020〕46号文件的规定，采用低价优先法计算，以本次满足磋商文件要求的最低最后磋商报价为磋商基准价，其磋商报价为满分。供应商的磋商报价得分，统一按照下列公式计算：磋商报价得分=(磋商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详见附件：商务技术文件.docx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