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AE901">
      <w:pPr>
        <w:ind w:firstLine="563" w:firstLineChars="128"/>
        <w:jc w:val="center"/>
        <w:rPr>
          <w:rFonts w:hint="eastAsia" w:ascii="方正小标宋简体" w:eastAsia="方正小标宋简体"/>
          <w:sz w:val="44"/>
          <w:szCs w:val="44"/>
        </w:rPr>
      </w:pPr>
      <w:r>
        <w:rPr>
          <w:rFonts w:hint="eastAsia" w:ascii="方正小标宋简体" w:eastAsia="方正小标宋简体"/>
          <w:sz w:val="44"/>
          <w:szCs w:val="44"/>
        </w:rPr>
        <w:t>政府采购合同</w:t>
      </w:r>
    </w:p>
    <w:p w14:paraId="6F19BB9A">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合同编号：</w:t>
      </w:r>
    </w:p>
    <w:p w14:paraId="493F06E5">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签订地点：</w:t>
      </w:r>
    </w:p>
    <w:p w14:paraId="11F85417">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签订时间：</w:t>
      </w:r>
    </w:p>
    <w:p w14:paraId="7EBEA21C">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是否为专门面向中小企业的采购项目：是</w:t>
      </w:r>
    </w:p>
    <w:p w14:paraId="725E0F5E">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采购人（甲方）：</w:t>
      </w:r>
    </w:p>
    <w:p w14:paraId="1D808B7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供应商（乙方）：</w:t>
      </w:r>
    </w:p>
    <w:p w14:paraId="67728FD2">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根据《中华人民共和国政府采购法》及实施条例、《中华人民共和国民法典》和</w:t>
      </w:r>
      <w:r>
        <w:rPr>
          <w:rFonts w:hint="eastAsia" w:ascii="仿宋" w:hAnsi="仿宋" w:eastAsia="仿宋" w:cs="仿宋"/>
          <w:sz w:val="32"/>
          <w:szCs w:val="32"/>
          <w:u w:val="single"/>
        </w:rPr>
        <w:t>陕西省机关事务服务中心公务用车标识喷涂项目</w:t>
      </w:r>
      <w:r>
        <w:rPr>
          <w:rFonts w:hint="eastAsia" w:ascii="仿宋" w:hAnsi="仿宋" w:eastAsia="仿宋" w:cs="仿宋"/>
          <w:sz w:val="32"/>
          <w:szCs w:val="32"/>
          <w:u w:val="none"/>
        </w:rPr>
        <w:t>（</w:t>
      </w:r>
      <w:r>
        <w:rPr>
          <w:rFonts w:hint="eastAsia" w:ascii="仿宋" w:hAnsi="仿宋" w:eastAsia="仿宋" w:cs="仿宋"/>
          <w:sz w:val="32"/>
          <w:szCs w:val="32"/>
        </w:rPr>
        <w:t>采购项目编号</w:t>
      </w:r>
      <w:r>
        <w:rPr>
          <w:rFonts w:hint="eastAsia" w:ascii="仿宋" w:hAnsi="仿宋" w:eastAsia="仿宋" w:cs="仿宋"/>
          <w:sz w:val="32"/>
          <w:szCs w:val="32"/>
          <w:u w:val="single"/>
        </w:rPr>
        <w:t>SXLX26-02-033Z(F)</w:t>
      </w:r>
      <w:r>
        <w:rPr>
          <w:rFonts w:hint="eastAsia" w:ascii="仿宋" w:hAnsi="仿宋" w:eastAsia="仿宋" w:cs="仿宋"/>
          <w:sz w:val="32"/>
          <w:szCs w:val="32"/>
        </w:rPr>
        <w:t>）的采购文件、响应文件等有关规定，为确保甲方采购项目的顺利实施，甲、乙双方在平等自愿原则下签订本合同，并共同遵守如下条款：</w:t>
      </w:r>
    </w:p>
    <w:p w14:paraId="31044B59">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第一条项目基本情况</w:t>
      </w:r>
    </w:p>
    <w:p w14:paraId="0CCB69EE">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本项目为陕西省机关事务服务中心公务用车标识喷涂项目，对陕西省机关事务服务中心公务用车原有标识进行统一规范调整，将原监督电话变更为“12345政务服务便民热线”，并按照统一标准完成喷涂作业，车辆共计2324辆。</w:t>
      </w:r>
    </w:p>
    <w:p w14:paraId="72AB85B5">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第二条服务期限</w:t>
      </w:r>
    </w:p>
    <w:p w14:paraId="39355E1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highlight w:val="none"/>
          <w:lang w:eastAsia="zh-CN"/>
        </w:rPr>
        <w:t>自合同签订之日起至2026年5月31日止。</w:t>
      </w:r>
      <w:r>
        <w:rPr>
          <w:rFonts w:hint="eastAsia" w:ascii="仿宋" w:hAnsi="仿宋" w:eastAsia="仿宋" w:cs="仿宋"/>
          <w:sz w:val="32"/>
          <w:szCs w:val="32"/>
          <w:highlight w:val="none"/>
        </w:rPr>
        <w:t>乙</w:t>
      </w:r>
      <w:r>
        <w:rPr>
          <w:rFonts w:hint="eastAsia" w:ascii="仿宋" w:hAnsi="仿宋" w:eastAsia="仿宋" w:cs="仿宋"/>
          <w:sz w:val="32"/>
          <w:szCs w:val="32"/>
        </w:rPr>
        <w:t>方须在此期限内完成全部车辆喷涂工作（经甲方书面确认可延后的车辆除外），并按要求将全部车辆喷涂相关资料发送至甲方指定邮箱，逾期未完成的，按本合同第十条违约责任条款执行。</w:t>
      </w:r>
    </w:p>
    <w:p w14:paraId="4F66D957">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第三条服务内容与质量标准</w:t>
      </w:r>
    </w:p>
    <w:p w14:paraId="37ACC1A9">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1.服务内容</w:t>
      </w:r>
    </w:p>
    <w:p w14:paraId="798E4F2D">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（1）按甲方要求对车辆标识进行喷涂调整；</w:t>
      </w:r>
    </w:p>
    <w:p w14:paraId="638068EE">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（2）将车辆原有标识中的监督电话统一修改为“12345”；</w:t>
      </w:r>
    </w:p>
    <w:p w14:paraId="50466EC4">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（3）提供集中喷涂服务（由甲方统一调度）。</w:t>
      </w:r>
    </w:p>
    <w:p w14:paraId="39143C28">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2.项目组织与进度管理</w:t>
      </w:r>
    </w:p>
    <w:p w14:paraId="58549409">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（1）乙方中标后，须按甲方提供的邮箱汇总喷涂单位信息，并主动与电话表所列各用车单位对接联络，统筹推进喷涂工作；</w:t>
      </w:r>
    </w:p>
    <w:p w14:paraId="3FBFFE6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（2）乙方须在项目实施前制定详细倒排工期表，报甲方审核确认后严格执行；</w:t>
      </w:r>
    </w:p>
    <w:p w14:paraId="438E924D">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（3）乙方须于每周一、周三按照甲方指定地点，向甲方当面汇报喷涂工作进展，并同步提交已完成喷涂单位详细清单；</w:t>
      </w:r>
    </w:p>
    <w:p w14:paraId="4F8F5D4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（4）乙方须按批次将喷涂影像资料、完成清单等资料打包整理，及时报送至甲方指定邮箱。</w:t>
      </w:r>
    </w:p>
    <w:p w14:paraId="49F952D1">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3.影像资料及数据报送要求</w:t>
      </w:r>
    </w:p>
    <w:p w14:paraId="7CEAEB59">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（1）每辆车喷涂完成后，需拍摄车辆前、后、左、右四个方向照片；</w:t>
      </w:r>
    </w:p>
    <w:p w14:paraId="5B53A3DA">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（2）照片需清晰显示标识喷涂效果及车牌信息；</w:t>
      </w:r>
    </w:p>
    <w:p w14:paraId="32C1B90A">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（3）按甲方提供的统一模板进行命名及整理；</w:t>
      </w:r>
    </w:p>
    <w:p w14:paraId="4CE47C1D">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（4）按批次打包整理后，发送至甲方指定邮箱；</w:t>
      </w:r>
    </w:p>
    <w:p w14:paraId="747A495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（5）所有影像资料应真实、完整，不得篡改或遗漏。</w:t>
      </w:r>
    </w:p>
    <w:p w14:paraId="125B67AB">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4.质量与安全要求</w:t>
      </w:r>
    </w:p>
    <w:p w14:paraId="57A4CA49">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（1）喷涂应规范、美观、牢固，不得出现脱落、模糊、色差明显等问题；</w:t>
      </w:r>
    </w:p>
    <w:p w14:paraId="67F13114">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（2）不得损伤车辆原有车漆及外观结构；</w:t>
      </w:r>
    </w:p>
    <w:p w14:paraId="2AF4AEF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（3）若在喷涂过程中造成车辆车漆或其他部位损坏，由乙方无偿负责修复；</w:t>
      </w:r>
    </w:p>
    <w:p w14:paraId="07E85C39">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（4）修复标准须达到原厂或甲方认可标准；</w:t>
      </w:r>
    </w:p>
    <w:p w14:paraId="7826B62B">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（5）由此产生的一切费用由乙方承担，甲方不承担任何费用。</w:t>
      </w:r>
    </w:p>
    <w:p w14:paraId="00278A0F">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第四条服务费用及支付方式</w:t>
      </w:r>
    </w:p>
    <w:p w14:paraId="07E80D7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服务费按下列比例支付价款</w:t>
      </w:r>
    </w:p>
    <w:p w14:paraId="6C5826B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（1）服务总费用为人民币（大写）：</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元，￥</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w:t>
      </w:r>
    </w:p>
    <w:p w14:paraId="0CD1A545">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（2）支付方式：经甲方验收合格后，达到付款条件且乙方向甲方开具足额发票之日起15个工作日内，支付合同总金额的100.00%。</w:t>
      </w:r>
    </w:p>
    <w:p w14:paraId="61BE032F">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结算方式：银行转账</w:t>
      </w:r>
    </w:p>
    <w:p w14:paraId="518D07FA">
      <w:pPr>
        <w:keepNext w:val="0"/>
        <w:keepLines w:val="0"/>
        <w:pageBreakBefore w:val="0"/>
        <w:kinsoku/>
        <w:wordWrap/>
        <w:overflowPunct/>
        <w:topLinePunct w:val="0"/>
        <w:autoSpaceDE/>
        <w:autoSpaceDN/>
        <w:bidi w:val="0"/>
        <w:spacing w:line="360" w:lineRule="auto"/>
        <w:ind w:firstLine="726" w:firstLineChars="227"/>
        <w:jc w:val="both"/>
        <w:rPr>
          <w:rFonts w:hint="eastAsia" w:ascii="仿宋" w:hAnsi="仿宋" w:eastAsia="仿宋" w:cs="仿宋"/>
          <w:sz w:val="32"/>
          <w:szCs w:val="32"/>
        </w:rPr>
      </w:pPr>
      <w:r>
        <w:rPr>
          <w:rFonts w:hint="eastAsia" w:ascii="仿宋" w:hAnsi="仿宋" w:eastAsia="仿宋" w:cs="仿宋"/>
          <w:sz w:val="32"/>
          <w:szCs w:val="32"/>
        </w:rPr>
        <w:t>乙方收款账户</w:t>
      </w:r>
    </w:p>
    <w:p w14:paraId="2A77DCDC">
      <w:pPr>
        <w:keepNext w:val="0"/>
        <w:keepLines w:val="0"/>
        <w:pageBreakBefore w:val="0"/>
        <w:kinsoku/>
        <w:wordWrap/>
        <w:overflowPunct/>
        <w:topLinePunct w:val="0"/>
        <w:autoSpaceDE/>
        <w:autoSpaceDN/>
        <w:bidi w:val="0"/>
        <w:spacing w:line="360" w:lineRule="auto"/>
        <w:ind w:firstLine="726" w:firstLineChars="227"/>
        <w:jc w:val="both"/>
        <w:rPr>
          <w:rFonts w:hint="eastAsia" w:ascii="仿宋" w:hAnsi="仿宋" w:eastAsia="仿宋" w:cs="仿宋"/>
          <w:sz w:val="32"/>
          <w:szCs w:val="32"/>
        </w:rPr>
      </w:pPr>
      <w:r>
        <w:rPr>
          <w:rFonts w:hint="eastAsia" w:ascii="仿宋" w:hAnsi="仿宋" w:eastAsia="仿宋" w:cs="仿宋"/>
          <w:sz w:val="32"/>
          <w:szCs w:val="32"/>
        </w:rPr>
        <w:t>账户名称：</w:t>
      </w:r>
    </w:p>
    <w:p w14:paraId="5360B1FF">
      <w:pPr>
        <w:keepNext w:val="0"/>
        <w:keepLines w:val="0"/>
        <w:pageBreakBefore w:val="0"/>
        <w:kinsoku/>
        <w:wordWrap/>
        <w:overflowPunct/>
        <w:topLinePunct w:val="0"/>
        <w:autoSpaceDE/>
        <w:autoSpaceDN/>
        <w:bidi w:val="0"/>
        <w:spacing w:line="360" w:lineRule="auto"/>
        <w:ind w:firstLine="726" w:firstLineChars="227"/>
        <w:jc w:val="both"/>
        <w:rPr>
          <w:rFonts w:hint="eastAsia" w:ascii="仿宋" w:hAnsi="仿宋" w:eastAsia="仿宋" w:cs="仿宋"/>
          <w:sz w:val="32"/>
          <w:szCs w:val="32"/>
        </w:rPr>
      </w:pPr>
      <w:r>
        <w:rPr>
          <w:rFonts w:hint="eastAsia" w:ascii="仿宋" w:hAnsi="仿宋" w:eastAsia="仿宋" w:cs="仿宋"/>
          <w:sz w:val="32"/>
          <w:szCs w:val="32"/>
        </w:rPr>
        <w:t>开户银行：</w:t>
      </w:r>
    </w:p>
    <w:p w14:paraId="3F9967D1">
      <w:pPr>
        <w:keepNext w:val="0"/>
        <w:keepLines w:val="0"/>
        <w:pageBreakBefore w:val="0"/>
        <w:kinsoku/>
        <w:wordWrap/>
        <w:overflowPunct/>
        <w:topLinePunct w:val="0"/>
        <w:autoSpaceDE/>
        <w:autoSpaceDN/>
        <w:bidi w:val="0"/>
        <w:spacing w:line="360" w:lineRule="auto"/>
        <w:ind w:firstLine="726" w:firstLineChars="227"/>
        <w:jc w:val="both"/>
        <w:rPr>
          <w:rFonts w:hint="eastAsia" w:ascii="仿宋" w:hAnsi="仿宋" w:eastAsia="仿宋" w:cs="仿宋"/>
          <w:sz w:val="32"/>
          <w:szCs w:val="32"/>
        </w:rPr>
      </w:pPr>
      <w:r>
        <w:rPr>
          <w:rFonts w:hint="eastAsia" w:ascii="仿宋" w:hAnsi="仿宋" w:eastAsia="仿宋" w:cs="仿宋"/>
          <w:sz w:val="32"/>
          <w:szCs w:val="32"/>
        </w:rPr>
        <w:t>银行账号：</w:t>
      </w:r>
    </w:p>
    <w:p w14:paraId="7B309124">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第五条知识产权</w:t>
      </w:r>
    </w:p>
    <w:p w14:paraId="113D1894">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乙方应保证所提供的服务或其任何一部分均不会侵犯任何第三方的专利权、商标权或著作权。</w:t>
      </w:r>
    </w:p>
    <w:p w14:paraId="6FE49B09">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第六条无产权瑕疵条款</w:t>
      </w:r>
    </w:p>
    <w:p w14:paraId="301CAE18">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乙方保证所提供的服务的所有权完全属于乙方且无任何抵押、查封等产权瑕疵。如有产权瑕疵的，视为乙方违约。乙方应负担由此而产生的一切损失。</w:t>
      </w:r>
    </w:p>
    <w:p w14:paraId="574F9214">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第七条履约保证金</w:t>
      </w:r>
    </w:p>
    <w:p w14:paraId="22A3EE6C">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乙方在签订本合同之前，向甲方提交履约保证金人民币50000元。</w:t>
      </w:r>
    </w:p>
    <w:p w14:paraId="05FE60F5">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履约保证金的有效期为乙方承诺的服务期限。</w:t>
      </w:r>
    </w:p>
    <w:p w14:paraId="0ADA4191">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履约保证金作为违约金的一部分用于补偿甲方因乙方不能履行合同义务而蒙受的损失。</w:t>
      </w:r>
    </w:p>
    <w:p w14:paraId="721211BE">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服务期限结束后，甲方财务部门接到甲方确认本合同服务等约定事项已经履行完毕的正式书面文件后的【】日内，向乙方无息退还履约保证金。</w:t>
      </w:r>
    </w:p>
    <w:p w14:paraId="3A3F9D76">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乙方可以履约担保函的形式交纳履约保证金。</w:t>
      </w:r>
    </w:p>
    <w:p w14:paraId="35888006">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第八条甲方的权利和义务</w:t>
      </w:r>
    </w:p>
    <w:p w14:paraId="50A43CF2">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1．甲方有权对合同规定范围内乙方的服务行为进行监督和检查，拥有监管权。有权定期核对乙方提供服务所配备的人员数量。对甲方认为不合理的部分有权下达整改通知书，并要求乙方限期整改。</w:t>
      </w:r>
    </w:p>
    <w:p w14:paraId="47C2F6CA">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rPr>
        <w:t>2.负责检查监督乙方管理工作的实施及制度的执行情况。</w:t>
      </w:r>
    </w:p>
    <w:p w14:paraId="1D828C49">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rPr>
        <w:t>3.根据本合同规定，按时向乙方支付应付服务费用。</w:t>
      </w:r>
    </w:p>
    <w:p w14:paraId="344C8B63">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rPr>
        <w:t>4.国家法律法规所规定由甲方承担的其他责任。</w:t>
      </w:r>
    </w:p>
    <w:p w14:paraId="778C17A6">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第九条乙方的权利和义务</w:t>
      </w:r>
    </w:p>
    <w:p w14:paraId="54742E78">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1.对本合同规定的委托服务范围内的项目享有管理权及服务义务。</w:t>
      </w:r>
    </w:p>
    <w:p w14:paraId="712B26D6">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2.及时向甲方通告本项目服务范围内有关服务的重大事项，及时配合处理投诉。</w:t>
      </w:r>
    </w:p>
    <w:p w14:paraId="1F7DDBC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3.接受项目行业管理部门及政府有关部门的指导，接受甲方的监督。</w:t>
      </w:r>
    </w:p>
    <w:p w14:paraId="3A641FE7">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4.严格按照本合同约定倒排工期、进度汇报、资料报送等要求推进项目，确保按期完成全部喷涂任务。</w:t>
      </w:r>
    </w:p>
    <w:p w14:paraId="2E28C1E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5.国家法律法规所规定由乙方承担的其他责任。</w:t>
      </w:r>
    </w:p>
    <w:p w14:paraId="6CA289DC">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第十条违约责任</w:t>
      </w:r>
    </w:p>
    <w:p w14:paraId="328FB4CF">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1.甲乙双方必须遵守本合同并执行合同中的各项规定，保证本合同的正常履行。</w:t>
      </w:r>
    </w:p>
    <w:p w14:paraId="4E1834A7">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1A8C12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3.未按要求完成喷涂任务、未按规定频次汇报进展或未提交相关资料的，甲方有权要求整改；逾期未整改的，甲方有权拒绝验收或扣减相应费用。</w:t>
      </w:r>
    </w:p>
    <w:p w14:paraId="120626B9">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4.因施工原因造成车辆损坏的，由乙方承担全部责任，无偿修复并承担相关费用。</w:t>
      </w:r>
    </w:p>
    <w:p w14:paraId="110833DE">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5.未按规定提交影像资料、完成清单等资料的，甲方有权拒绝验收或扣减费用。</w:t>
      </w:r>
    </w:p>
    <w:p w14:paraId="02BA8905">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6.本项目质保期为【 】个月，自全部车辆喷涂工作完成并经甲方最终验收合格之日起计算。质保期内标识出现自然脱落、开裂、褪色等问题，乙方未在接到甲方通知之日起3日内免费重新喷涂的，甲方有权要求乙方按照【】元每辆的标准支付违约金，由此产生的一切费用及损失（包括但不限于委托第三方的费用高于本合同价款的差价）均由乙方承担。</w:t>
      </w:r>
    </w:p>
    <w:p w14:paraId="7979F507">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7.乙方未在2026年5月31日前完成全部车辆喷涂工作（经甲方书面确认可延后的车辆除外），每逾期一日，应按合同总金额的万分之五的标准向甲方支付违约金。逾期超过15日的，视为严重违约，甲方有权单方解除合同并要求乙方支付合同总金额的20%的违约金,由此产生的一切费用及损失（包括但不限于委托第三方的费用高于本合同价款的差价）均由乙方承担。前述违约金不足以弥补甲方实际损失的，乙方应就超出部分继续予以赔偿。</w:t>
      </w:r>
    </w:p>
    <w:p w14:paraId="7F4B9691">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8.乙方存在其他严重违约行为的，甲方有权终止合同并追究相应责任。</w:t>
      </w:r>
    </w:p>
    <w:p w14:paraId="11DC28FF">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第十一条不可抗力事件处理</w:t>
      </w:r>
    </w:p>
    <w:p w14:paraId="461D7CE7">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1.在合同有效期内，任何一方因不可抗力事件导致不能履行合同，则合同履行期可延长，其延长期与不可抗力影响期相同。</w:t>
      </w:r>
    </w:p>
    <w:p w14:paraId="744D8195">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2.不可抗力事件发生后，应立即通知对方，并寄送有关权威机构出具的证明。</w:t>
      </w:r>
    </w:p>
    <w:p w14:paraId="5C711EE6">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3.不可抗力事件延续天以上，双方应通过友好协商，确定是否继续履行合同。</w:t>
      </w:r>
    </w:p>
    <w:p w14:paraId="7ABB3B70">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第十二条合同的变更和终止</w:t>
      </w:r>
    </w:p>
    <w:p w14:paraId="7BE4286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除《中华人民共和国政府采购法》第49条、第50条第二款规定的情形外，本合同一经签订，甲乙双方不得擅自变更、中止或终止合同。</w:t>
      </w:r>
    </w:p>
    <w:p w14:paraId="7AEDF244">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第十三条解决合同纠纷的方式</w:t>
      </w:r>
    </w:p>
    <w:p w14:paraId="1574239A">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在执行本合同中发生的或与本合同有关的争端，双方应通过友好协商解决，经协商在天内不能达成协议时，则采取以下第1种方式解决争议：</w:t>
      </w:r>
    </w:p>
    <w:p w14:paraId="23867907">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向甲方所在地有管辖权的人民法院提起诉讼；</w:t>
      </w:r>
    </w:p>
    <w:p w14:paraId="78DDD037">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向/仲裁委员会按其仲裁规则申请仲裁。</w:t>
      </w:r>
    </w:p>
    <w:p w14:paraId="7089C38A">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在仲裁期间，本合同应继续履行。</w:t>
      </w:r>
    </w:p>
    <w:p w14:paraId="701F852F">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第十四条合同生效及其他</w:t>
      </w:r>
    </w:p>
    <w:p w14:paraId="0445464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合同经双方法定代表人（单位负责人）或授权委托代理人签字并加盖单位公章并由采购代理机构盖章后生效。</w:t>
      </w:r>
    </w:p>
    <w:p w14:paraId="70A4C78F">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合同执行中涉及采购资金和采购内容修改或补充的，须经政府采购监管部门审批，并签订书面补充协议报政府采购监督管理部门备案，方可作为主合同不可分割的一部分。</w:t>
      </w:r>
    </w:p>
    <w:p w14:paraId="7C88AFA2">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本合同一式陆份，自双方签章之日起生效。甲方贰份，乙方贰份，政府采购代理机构壹份，同级财政部门备案壹份，具有同等法律效力。</w:t>
      </w:r>
    </w:p>
    <w:p w14:paraId="22C6CF44">
      <w:pPr>
        <w:keepNext w:val="0"/>
        <w:keepLines w:val="0"/>
        <w:pageBreakBefore w:val="0"/>
        <w:kinsoku/>
        <w:wordWrap/>
        <w:overflowPunct/>
        <w:topLinePunct w:val="0"/>
        <w:autoSpaceDE/>
        <w:autoSpaceDN/>
        <w:bidi w:val="0"/>
        <w:spacing w:line="360" w:lineRule="auto"/>
        <w:ind w:firstLine="409" w:firstLineChars="128"/>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第十五条附件</w:t>
      </w:r>
    </w:p>
    <w:p w14:paraId="1A636FA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1.关于统一收录车辆照片的规范要求</w:t>
      </w:r>
    </w:p>
    <w:p w14:paraId="400A2F75">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.项目采购文件</w:t>
      </w:r>
    </w:p>
    <w:p w14:paraId="61CB677B">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.项目修改澄清文件</w:t>
      </w:r>
    </w:p>
    <w:p w14:paraId="534DBA91">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.项目响应文件</w:t>
      </w:r>
    </w:p>
    <w:p w14:paraId="67FB2131">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.成交通知书</w:t>
      </w:r>
    </w:p>
    <w:p w14:paraId="283550CF">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.其他</w:t>
      </w:r>
    </w:p>
    <w:p w14:paraId="7C0F3D4D">
      <w:pPr>
        <w:keepNext w:val="0"/>
        <w:keepLines w:val="0"/>
        <w:pageBreakBefore w:val="0"/>
        <w:kinsoku/>
        <w:wordWrap/>
        <w:overflowPunct/>
        <w:topLinePunct w:val="0"/>
        <w:autoSpaceDE/>
        <w:autoSpaceDN/>
        <w:bidi w:val="0"/>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br w:type="page"/>
      </w:r>
    </w:p>
    <w:p w14:paraId="44636F47">
      <w:pPr>
        <w:keepNext w:val="0"/>
        <w:keepLines w:val="0"/>
        <w:pageBreakBefore w:val="0"/>
        <w:kinsoku/>
        <w:wordWrap/>
        <w:overflowPunct/>
        <w:topLinePunct w:val="0"/>
        <w:autoSpaceDE/>
        <w:autoSpaceDN/>
        <w:bidi w:val="0"/>
        <w:spacing w:line="360" w:lineRule="auto"/>
        <w:ind w:left="0" w:leftChars="0" w:firstLine="0" w:firstLineChars="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附件1：</w:t>
      </w:r>
    </w:p>
    <w:p w14:paraId="212AF933">
      <w:pPr>
        <w:keepNext w:val="0"/>
        <w:keepLines w:val="0"/>
        <w:pageBreakBefore w:val="0"/>
        <w:kinsoku/>
        <w:wordWrap/>
        <w:overflowPunct/>
        <w:topLinePunct w:val="0"/>
        <w:autoSpaceDE/>
        <w:autoSpaceDN/>
        <w:bidi w:val="0"/>
        <w:spacing w:line="360" w:lineRule="auto"/>
        <w:ind w:left="0" w:leftChars="0" w:firstLine="0" w:firstLineChars="0"/>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rPr>
        <w:t>关于统一收录车辆照片的规范要求</w:t>
      </w:r>
    </w:p>
    <w:p w14:paraId="074EC1FE">
      <w:pPr>
        <w:keepNext w:val="0"/>
        <w:keepLines w:val="0"/>
        <w:pageBreakBefore w:val="0"/>
        <w:kinsoku/>
        <w:wordWrap/>
        <w:overflowPunct/>
        <w:topLinePunct w:val="0"/>
        <w:autoSpaceDE/>
        <w:autoSpaceDN/>
        <w:bidi w:val="0"/>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一、文件夹命名规范</w:t>
      </w:r>
    </w:p>
    <w:p w14:paraId="45D97168">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每辆车建立一个独立文件夹，文件夹名称统一为车辆车牌号（含汉字及字母，示例：陕A12345）。</w:t>
      </w:r>
    </w:p>
    <w:p w14:paraId="5741F847">
      <w:pPr>
        <w:keepNext w:val="0"/>
        <w:keepLines w:val="0"/>
        <w:pageBreakBefore w:val="0"/>
        <w:kinsoku/>
        <w:wordWrap/>
        <w:overflowPunct/>
        <w:topLinePunct w:val="0"/>
        <w:autoSpaceDE/>
        <w:autoSpaceDN/>
        <w:bidi w:val="0"/>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二、照片内容及命名要求</w:t>
      </w:r>
    </w:p>
    <w:p w14:paraId="458176E1">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每辆车需提供四张照片，分别从四个方向拍摄，确保车牌号、车身标识喷涂情况清晰可见。照片文件命名规则如下表1。</w:t>
      </w:r>
    </w:p>
    <w:p w14:paraId="1D32D783">
      <w:pPr>
        <w:keepNext w:val="0"/>
        <w:keepLines w:val="0"/>
        <w:pageBreakBefore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表1 文件命名规则</w:t>
      </w:r>
    </w:p>
    <w:tbl>
      <w:tblPr>
        <w:tblStyle w:val="3"/>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066"/>
        <w:gridCol w:w="1627"/>
        <w:gridCol w:w="4297"/>
      </w:tblGrid>
      <w:tr w14:paraId="0D31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 w:type="dxa"/>
            <w:vAlign w:val="center"/>
          </w:tcPr>
          <w:p w14:paraId="61B7D8EF">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序号</w:t>
            </w:r>
          </w:p>
        </w:tc>
        <w:tc>
          <w:tcPr>
            <w:tcW w:w="2066" w:type="dxa"/>
            <w:vAlign w:val="center"/>
          </w:tcPr>
          <w:p w14:paraId="07B1C0A4">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拍摄方向</w:t>
            </w:r>
          </w:p>
        </w:tc>
        <w:tc>
          <w:tcPr>
            <w:tcW w:w="1627" w:type="dxa"/>
            <w:vAlign w:val="center"/>
          </w:tcPr>
          <w:p w14:paraId="571BDC7C">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文件命名</w:t>
            </w:r>
          </w:p>
        </w:tc>
        <w:tc>
          <w:tcPr>
            <w:tcW w:w="4297" w:type="dxa"/>
            <w:vAlign w:val="center"/>
          </w:tcPr>
          <w:p w14:paraId="32DDBAB1">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说明</w:t>
            </w:r>
          </w:p>
        </w:tc>
      </w:tr>
      <w:tr w14:paraId="135A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center"/>
          </w:tcPr>
          <w:p w14:paraId="658417D5">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w:t>
            </w:r>
          </w:p>
        </w:tc>
        <w:tc>
          <w:tcPr>
            <w:tcW w:w="2066" w:type="dxa"/>
            <w:vAlign w:val="center"/>
          </w:tcPr>
          <w:p w14:paraId="47357246">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车头方向</w:t>
            </w:r>
          </w:p>
        </w:tc>
        <w:tc>
          <w:tcPr>
            <w:tcW w:w="1627" w:type="dxa"/>
            <w:vAlign w:val="center"/>
          </w:tcPr>
          <w:p w14:paraId="2C88EACB">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前</w:t>
            </w:r>
          </w:p>
        </w:tc>
        <w:tc>
          <w:tcPr>
            <w:tcW w:w="4297" w:type="dxa"/>
            <w:vAlign w:val="center"/>
          </w:tcPr>
          <w:p w14:paraId="0F7C4046">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清晰展示车牌号、车辆前脸</w:t>
            </w:r>
          </w:p>
        </w:tc>
      </w:tr>
      <w:tr w14:paraId="47E3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center"/>
          </w:tcPr>
          <w:p w14:paraId="7584674E">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w:t>
            </w:r>
          </w:p>
        </w:tc>
        <w:tc>
          <w:tcPr>
            <w:tcW w:w="2066" w:type="dxa"/>
            <w:vAlign w:val="center"/>
          </w:tcPr>
          <w:p w14:paraId="23C4C13A">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车尾方向</w:t>
            </w:r>
          </w:p>
        </w:tc>
        <w:tc>
          <w:tcPr>
            <w:tcW w:w="1627" w:type="dxa"/>
            <w:vAlign w:val="center"/>
          </w:tcPr>
          <w:p w14:paraId="63F4D479">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后</w:t>
            </w:r>
          </w:p>
        </w:tc>
        <w:tc>
          <w:tcPr>
            <w:tcW w:w="4297" w:type="dxa"/>
            <w:vAlign w:val="center"/>
          </w:tcPr>
          <w:p w14:paraId="6CF581D9">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清晰展示车牌号、车辆尾部</w:t>
            </w:r>
          </w:p>
        </w:tc>
      </w:tr>
      <w:tr w14:paraId="50D3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center"/>
          </w:tcPr>
          <w:p w14:paraId="4F0BB924">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w:t>
            </w:r>
          </w:p>
        </w:tc>
        <w:tc>
          <w:tcPr>
            <w:tcW w:w="2066" w:type="dxa"/>
            <w:vAlign w:val="center"/>
          </w:tcPr>
          <w:p w14:paraId="41427E17">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车身左侧</w:t>
            </w:r>
          </w:p>
        </w:tc>
        <w:tc>
          <w:tcPr>
            <w:tcW w:w="1627" w:type="dxa"/>
            <w:vAlign w:val="center"/>
          </w:tcPr>
          <w:p w14:paraId="5743F2DE">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左</w:t>
            </w:r>
          </w:p>
        </w:tc>
        <w:tc>
          <w:tcPr>
            <w:tcW w:w="4297" w:type="dxa"/>
            <w:vAlign w:val="center"/>
          </w:tcPr>
          <w:p w14:paraId="185F5AB0">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清晰展示车身左侧</w:t>
            </w:r>
          </w:p>
        </w:tc>
      </w:tr>
      <w:tr w14:paraId="149D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center"/>
          </w:tcPr>
          <w:p w14:paraId="5E711789">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w:t>
            </w:r>
          </w:p>
        </w:tc>
        <w:tc>
          <w:tcPr>
            <w:tcW w:w="2066" w:type="dxa"/>
            <w:vAlign w:val="center"/>
          </w:tcPr>
          <w:p w14:paraId="75483E1F">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车身右侧</w:t>
            </w:r>
          </w:p>
        </w:tc>
        <w:tc>
          <w:tcPr>
            <w:tcW w:w="1627" w:type="dxa"/>
            <w:vAlign w:val="center"/>
          </w:tcPr>
          <w:p w14:paraId="5BC492FB">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右</w:t>
            </w:r>
          </w:p>
        </w:tc>
        <w:tc>
          <w:tcPr>
            <w:tcW w:w="4297" w:type="dxa"/>
            <w:vAlign w:val="center"/>
          </w:tcPr>
          <w:p w14:paraId="6C2848E1">
            <w:pPr>
              <w:keepNext w:val="0"/>
              <w:keepLines w:val="0"/>
              <w:pageBreakBefore w:val="0"/>
              <w:widowControl w:val="0"/>
              <w:kinsoku/>
              <w:wordWrap/>
              <w:overflowPunct/>
              <w:topLinePunct w:val="0"/>
              <w:autoSpaceDE/>
              <w:autoSpaceDN/>
              <w:bidi w:val="0"/>
              <w:spacing w:line="360" w:lineRule="auto"/>
              <w:ind w:left="0" w:leftChars="0" w:firstLine="0" w:firstLineChars="0"/>
              <w:jc w:val="center"/>
              <w:rPr>
                <w:rFonts w:hint="eastAsia" w:ascii="仿宋" w:hAnsi="仿宋" w:eastAsia="仿宋" w:cs="仿宋"/>
                <w:color w:val="auto"/>
                <w:sz w:val="32"/>
                <w:szCs w:val="32"/>
                <w:highlight w:val="none"/>
                <w:vertAlign w:val="baseline"/>
                <w:lang w:val="en-US" w:eastAsia="zh-CN"/>
              </w:rPr>
            </w:pPr>
            <w:r>
              <w:rPr>
                <w:rFonts w:hint="eastAsia" w:ascii="仿宋" w:hAnsi="仿宋" w:eastAsia="仿宋" w:cs="仿宋"/>
                <w:color w:val="auto"/>
                <w:sz w:val="32"/>
                <w:szCs w:val="32"/>
                <w:highlight w:val="none"/>
                <w:lang w:val="en-US" w:eastAsia="zh-CN"/>
              </w:rPr>
              <w:t>清晰展示车身右侧及标识</w:t>
            </w:r>
          </w:p>
        </w:tc>
      </w:tr>
    </w:tbl>
    <w:p w14:paraId="06D223FD">
      <w:pPr>
        <w:keepNext w:val="0"/>
        <w:keepLines w:val="0"/>
        <w:pageBreakBefore w:val="0"/>
        <w:kinsoku/>
        <w:wordWrap/>
        <w:overflowPunct/>
        <w:topLinePunct w:val="0"/>
        <w:autoSpaceDE/>
        <w:autoSpaceDN/>
        <w:bidi w:val="0"/>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三、拍摄技术要求</w:t>
      </w:r>
    </w:p>
    <w:p w14:paraId="4F932EF9">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（一）拍摄距离。建议拍摄距离控制在3-5米，确保车辆整体完整纳入画面；</w:t>
      </w:r>
    </w:p>
    <w:p w14:paraId="18345539">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（二）画面占比。车辆主体应占照片画面的60%以上，避免背景过多或车辆过小；</w:t>
      </w:r>
    </w:p>
    <w:p w14:paraId="76584050">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（三）拍摄角度。保持相机与被拍车辆基本平行，避免因角度倾斜导致车身变形；</w:t>
      </w:r>
    </w:p>
    <w:p w14:paraId="2EF89CCB">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（四）照片质量。照片应清晰可辨，不得模糊、反光严重或遮挡；光线充足，背景简洁；</w:t>
      </w:r>
    </w:p>
    <w:p w14:paraId="4847C7C3">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（五）照片格式。要求为JPG或PNG，单张大小不低于500KB。</w:t>
      </w:r>
    </w:p>
    <w:p w14:paraId="7F8AD10F">
      <w:pPr>
        <w:keepNext w:val="0"/>
        <w:keepLines w:val="0"/>
        <w:pageBreakBefore w:val="0"/>
        <w:kinsoku/>
        <w:wordWrap/>
        <w:overflowPunct/>
        <w:topLinePunct w:val="0"/>
        <w:autoSpaceDE/>
        <w:autoSpaceDN/>
        <w:bidi w:val="0"/>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四、提交方式</w:t>
      </w:r>
    </w:p>
    <w:p w14:paraId="21FA9324">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按车牌号建好文件夹，图片不压缩，不转码，并核对照片数量及命名无误后，统一压缩打包以邮件的形式提交至指定联系人。</w:t>
      </w:r>
    </w:p>
    <w:p w14:paraId="320C59EC">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指定联系人：</w:t>
      </w:r>
    </w:p>
    <w:p w14:paraId="6925D55B">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联系电话：</w:t>
      </w:r>
    </w:p>
    <w:p w14:paraId="7FFF6536">
      <w:pPr>
        <w:keepNext w:val="0"/>
        <w:keepLines w:val="0"/>
        <w:pageBreakBefore w:val="0"/>
        <w:kinsoku/>
        <w:wordWrap/>
        <w:overflowPunct/>
        <w:topLinePunct w:val="0"/>
        <w:autoSpaceDE/>
        <w:autoSpaceDN/>
        <w:bidi w:val="0"/>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邮箱地址：</w:t>
      </w:r>
    </w:p>
    <w:p w14:paraId="3942D3F4">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baseline"/>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请严格按要求执行，确保资料规范统一，便于后续查验及归档使用。</w:t>
      </w:r>
      <w:r>
        <w:rPr>
          <w:rFonts w:hint="eastAsia" w:ascii="仿宋" w:hAnsi="仿宋" w:eastAsia="仿宋" w:cs="仿宋"/>
          <w:color w:val="auto"/>
          <w:sz w:val="32"/>
          <w:szCs w:val="32"/>
          <w:highlight w:val="none"/>
        </w:rPr>
        <w:br w:type="page"/>
      </w:r>
    </w:p>
    <w:p w14:paraId="3609085B">
      <w:pPr>
        <w:pStyle w:val="6"/>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此页无正文</w:t>
      </w:r>
      <w:r>
        <w:rPr>
          <w:rFonts w:hint="eastAsia" w:ascii="仿宋" w:hAnsi="仿宋" w:eastAsia="仿宋" w:cs="仿宋"/>
          <w:color w:val="auto"/>
          <w:sz w:val="32"/>
          <w:szCs w:val="32"/>
          <w:highlight w:val="none"/>
          <w:lang w:eastAsia="zh-CN"/>
        </w:rPr>
        <w:t>）</w:t>
      </w:r>
    </w:p>
    <w:p w14:paraId="18CDDDC9">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rPr>
        <w:t>甲方：（盖章）</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乙方：（盖章）</w:t>
      </w:r>
    </w:p>
    <w:p w14:paraId="2CC22144">
      <w:pPr>
        <w:keepNext w:val="0"/>
        <w:keepLines w:val="0"/>
        <w:pageBreakBefore w:val="0"/>
        <w:kinsoku/>
        <w:wordWrap/>
        <w:overflowPunct/>
        <w:topLinePunct w:val="0"/>
        <w:autoSpaceDE/>
        <w:autoSpaceDN/>
        <w:bidi w:val="0"/>
        <w:spacing w:line="360" w:lineRule="auto"/>
        <w:ind w:firstLine="320" w:firstLineChars="100"/>
        <w:jc w:val="both"/>
        <w:rPr>
          <w:rFonts w:hint="eastAsia" w:ascii="仿宋" w:hAnsi="仿宋" w:eastAsia="仿宋" w:cs="仿宋"/>
          <w:sz w:val="32"/>
          <w:szCs w:val="32"/>
        </w:rPr>
      </w:pPr>
      <w:r>
        <w:rPr>
          <w:rFonts w:hint="eastAsia" w:ascii="仿宋" w:hAnsi="仿宋" w:eastAsia="仿宋" w:cs="仿宋"/>
          <w:sz w:val="32"/>
          <w:szCs w:val="32"/>
        </w:rPr>
        <w:t>法定代表人：（单位负责人）法定代表人：（单位负责人）</w:t>
      </w:r>
    </w:p>
    <w:p w14:paraId="4AE3DCB0">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bookmarkStart w:id="0" w:name="_GoBack"/>
      <w:bookmarkEnd w:id="0"/>
    </w:p>
    <w:p w14:paraId="2E82FEDA">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地址：</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w:t>
      </w:r>
    </w:p>
    <w:p w14:paraId="7277C02B">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开户银行：</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开户银行：</w:t>
      </w:r>
    </w:p>
    <w:p w14:paraId="77141CB1">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账号：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账号：</w:t>
      </w:r>
    </w:p>
    <w:p w14:paraId="599DA1DE">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电话：</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电话：</w:t>
      </w:r>
    </w:p>
    <w:p w14:paraId="0F57AD53">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传真：</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传真：</w:t>
      </w:r>
    </w:p>
    <w:p w14:paraId="61DFC2CB">
      <w:pPr>
        <w:keepNext w:val="0"/>
        <w:keepLines w:val="0"/>
        <w:pageBreakBefore w:val="0"/>
        <w:kinsoku/>
        <w:wordWrap/>
        <w:overflowPunct/>
        <w:topLinePunct w:val="0"/>
        <w:autoSpaceDE/>
        <w:autoSpaceDN/>
        <w:bidi w:val="0"/>
        <w:spacing w:line="360" w:lineRule="auto"/>
        <w:ind w:firstLine="409" w:firstLineChars="128"/>
        <w:jc w:val="both"/>
        <w:rPr>
          <w:rFonts w:hint="eastAsia" w:ascii="仿宋" w:hAnsi="仿宋" w:eastAsia="仿宋" w:cs="仿宋"/>
          <w:sz w:val="32"/>
          <w:szCs w:val="32"/>
        </w:rPr>
      </w:pPr>
      <w:r>
        <w:rPr>
          <w:rFonts w:hint="eastAsia" w:ascii="仿宋" w:hAnsi="仿宋" w:eastAsia="仿宋" w:cs="仿宋"/>
          <w:sz w:val="32"/>
          <w:szCs w:val="32"/>
        </w:rPr>
        <w:t>签约日期：</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签约日期：</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BC9EE9-CEE2-4A65-9023-9E4ED252F8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2" w:fontKey="{94082C42-808B-4858-BC56-E231C3028765}"/>
  </w:font>
  <w:font w:name="仿宋">
    <w:panose1 w:val="02010609060101010101"/>
    <w:charset w:val="86"/>
    <w:family w:val="auto"/>
    <w:pitch w:val="default"/>
    <w:sig w:usb0="800002BF" w:usb1="38CF7CFA" w:usb2="00000016" w:usb3="00000000" w:csb0="00040001" w:csb1="00000000"/>
    <w:embedRegular r:id="rId3" w:fontKey="{95ED6A29-F573-4DC0-885C-5955F3A4DD6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46D"/>
    <w:rsid w:val="000B2481"/>
    <w:rsid w:val="002F2793"/>
    <w:rsid w:val="009158C1"/>
    <w:rsid w:val="00A63C29"/>
    <w:rsid w:val="00C9446D"/>
    <w:rsid w:val="0C2F645A"/>
    <w:rsid w:val="17D31922"/>
    <w:rsid w:val="27822A1D"/>
    <w:rsid w:val="305B3C7F"/>
    <w:rsid w:val="3C964B49"/>
    <w:rsid w:val="3F535180"/>
    <w:rsid w:val="42440BA3"/>
    <w:rsid w:val="59457283"/>
    <w:rsid w:val="5B157129"/>
    <w:rsid w:val="5C723C72"/>
    <w:rsid w:val="6CD511CB"/>
    <w:rsid w:val="6DD43693"/>
    <w:rsid w:val="745251BD"/>
    <w:rsid w:val="77B92EBE"/>
    <w:rsid w:val="7B5D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2"/>
      <w:szCs w:val="24"/>
      <w:lang w:val="en-US" w:eastAsia="zh-CN" w:bidi="ar-SA"/>
      <w14:ligatures w14:val="standardContextual"/>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22"/>
    <w:rPr>
      <w:b/>
    </w:rPr>
  </w:style>
  <w:style w:type="paragraph" w:styleId="6">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c0cb16fb-9511-467a-a804-4916739b7954</errorID>
      <errorWord>（</errorWord>
      <group>L1_Punc</group>
      <groupName>标点问题</groupName>
      <ability>L2_Punc</ability>
      <abilityName>标点符号检查</abilityName>
      <candidateList>
        <item/>
      </candidateList>
      <explain>同一形式括号套用。</explain>
      <paraID>67728FD2</paraID>
      <start>56</start>
      <end>57</end>
      <status>unmodified</status>
      <modifiedWord/>
      <trackRevisions>false</trackRevisions>
    </reviewItem>
    <reviewItem>
      <errorID>331ef090-bdaa-45fc-a5d3-5018052d3929</errorID>
      <errorWord>(</errorWord>
      <group>L1_Punc</group>
      <groupName>标点问题</groupName>
      <ability>L2_Punc</ability>
      <abilityName>标点符号检查</abilityName>
      <candidateList/>
      <explain>同一形式括号套用。</explain>
      <paraID>67728FD2</paraID>
      <start>77</start>
      <end>78</end>
      <status>unmodified</status>
      <modifiedWord/>
      <trackRevisions>false</trackRevisions>
    </reviewItem>
    <reviewItem>
      <errorID>1b5b029b-9f70-4ee4-b1ca-0b91f5213930</errorID>
      <errorWord>)</errorWord>
      <group>L1_Punc</group>
      <groupName>标点问题</groupName>
      <ability>L2_Punc</ability>
      <abilityName>标点符号检查</abilityName>
      <candidateList/>
      <explain>同一形式括号套用。</explain>
      <paraID>67728FD2</paraID>
      <start>79</start>
      <end>80</end>
      <status>unmodified</status>
      <modifiedWord/>
      <trackRevisions>false</trackRevisions>
    </reviewItem>
    <reviewItem>
      <errorID>1f2d322b-38ad-48cd-95d7-085f940558af</errorID>
      <errorWord>）</errorWord>
      <group>L1_Punc</group>
      <groupName>标点问题</groupName>
      <ability>L2_Punc</ability>
      <abilityName>标点符号检查</abilityName>
      <candidateList/>
      <explain>同一形式括号套用。</explain>
      <paraID>67728FD2</paraID>
      <start>80</start>
      <end>81</end>
      <status>unmodified</status>
      <modifiedWord/>
      <trackRevisions>false</trackRevisions>
    </reviewItem>
    <reviewItem>
      <errorID>a15f2acb-76a7-4563-b62a-014d5d6feb4a</errorID>
      <errorWord>晰</errorWord>
      <group>L1_Word</group>
      <groupName>字词问题</groupName>
      <ability>L2_Typo</ability>
      <abilityName>字词错误</abilityName>
      <candidateList>
        <item>晰地</item>
      </candidateList>
      <explain/>
      <paraID>5B53A3DA</paraID>
      <start>7</start>
      <end>8</end>
      <status>unmodified</status>
      <modifiedWord/>
      <trackRevisions>false</trackRevisions>
    </reviewItem>
    <reviewItem>
      <errorID>5972b6e9-24ce-4497-985d-b8d7b6b843dc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50A43CF2</paraID>
      <start>0</start>
      <end>2</end>
      <status>unmodified</status>
      <modifiedWord/>
      <trackRevisions>false</trackRevisions>
    </reviewItem>
    <reviewItem>
      <errorID>4306defc-e3cc-4c9a-a1c4-03a22665219b</errorID>
      <errorWord>服</errorWord>
      <group>L1_Grammar</group>
      <groupName>语法问题</groupName>
      <ability>L2_Collocation</ability>
      <abilityName>搭配不当</abilityName>
      <candidateList>
        <item>承担服</item>
      </candidateList>
      <explain>句子中可能存在主谓、动宾、定语中心语、状语中心语、补语中心语、关联词搭配不当等问题。</explain>
      <paraID>54742E78</paraID>
      <start>25</start>
      <end>26</end>
      <status>unmodified</status>
      <modifiedWord/>
      <trackRevisions>false</trackRevisions>
    </reviewItem>
    <reviewItem>
      <errorID>3f55df59-840a-4a62-a564-b89b2655bc12</errorID>
      <errorWord>,</errorWord>
      <group>L1_Format</group>
      <groupName>格式问题</groupName>
      <ability>L2_HalfPunc</ability>
      <abilityName>全半角检查</abilityName>
      <candidateList>
        <item>，</item>
      </candidateList>
      <explain>文本全半角错误。</explain>
      <paraID>7979F507</paraID>
      <start>121</start>
      <end>122</end>
      <status>unmodified</status>
      <modifiedWord/>
      <trackRevisions>false</trackRevisions>
    </reviewItem>
    <reviewItem>
      <errorID>27022104-6a00-4652-98af-24c8b1dc87e5</errorID>
      <errorWord>第49条</errorWord>
      <group>L1_Knowledge</group>
      <groupName>知识性问题</groupName>
      <ability>L2_Knowledge</ability>
      <abilityName>其他知识</abilityName>
      <candidateList>
        <item>第四十九条</item>
      </candidateList>
      <explain/>
      <paraID>7BE42860</paraID>
      <start>15</start>
      <end>19</end>
      <status>unmodified</status>
      <modifiedWord/>
      <trackRevisions>false</trackRevisions>
    </reviewItem>
    <reviewItem>
      <errorID>0b434b2f-c3dd-4572-809b-f7c4c257eea6</errorID>
      <errorWord>晰</errorWord>
      <group>L1_Word</group>
      <groupName>字词问题</groupName>
      <ability>L2_Typo</ability>
      <abilityName>字词错误</abilityName>
      <candidateList>
        <item>晰地</item>
      </candidateList>
      <explain/>
      <paraID>185F5AB0</paraID>
      <start>1</start>
      <end>2</end>
      <status>unmodified</status>
      <modifiedWord/>
      <trackRevisions>false</trackRevisions>
    </reviewItem>
    <reviewItem>
      <errorID>83d41b49-7493-483c-83cf-c149401c632c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4F932EF9</paraID>
      <start>18</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98d2b7d2-d0ba-45ad-9563-b14cf3c79d33}">
  <ds:schemaRefs/>
</ds:datastoreItem>
</file>

<file path=docProps/app.xml><?xml version="1.0" encoding="utf-8"?>
<Properties xmlns="http://schemas.openxmlformats.org/officeDocument/2006/extended-properties" xmlns:vt="http://schemas.openxmlformats.org/officeDocument/2006/docPropsVTypes">
  <Template>Normal</Template>
  <Pages>11</Pages>
  <Words>3556</Words>
  <Characters>3656</Characters>
  <Lines>22</Lines>
  <Paragraphs>6</Paragraphs>
  <TotalTime>10</TotalTime>
  <ScaleCrop>false</ScaleCrop>
  <LinksUpToDate>false</LinksUpToDate>
  <CharactersWithSpaces>3879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2026-03-31T08:49:00Z</dcterms:created>
  <dc:creator>Administrator</dc:creator>
  <cp:lastModifiedBy>Lenovo</cp:lastModifiedBy>
  <dcterms:modified xsi:type="dcterms:W3CDTF">2026-04-01T10:25:32Z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eyJoZGlkIjoiYzZkZTVhZDhmYjRjMGEwYTQwZWQ4YmZkZjE5MDQ2MzAiLCJ1c2VySWQiOiI0NDgyMTE1NDUifQ==</vt:lpwstr>
  </property>
  <property fmtid="{D5CDD505-2E9C-101B-9397-08002B2CF9AE}" pid="3" name="KSOProductBuildVer">
    <vt:lpwstr>2052-12.1.0.25225</vt:lpwstr>
  </property>
  <property fmtid="{D5CDD505-2E9C-101B-9397-08002B2CF9AE}" pid="4" name="ICV">
    <vt:lpwstr>D22E8FAC7ABC498CAD0ACFC21903818D_12</vt:lpwstr>
  </property>
</Properties>
</file>