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版本号：政采-省本级-2026-0186920260402001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陕西省数字孪生水利天空地水工一体化监测感知夯基提能行动2024-2026年实施方案设计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政采-省本级-2026-01869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陕西省数字孪生水利天空地水工一体化监测感知夯基提能行动2024-2026年实施方案设计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政采-省本级-2026-01869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陕西省数字孪生水利天空地水工一体化监测感知夯基提能行动2024-2026年实施方案设计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推进数字孪生水利建设是发展水利新质生产力、推动水利高质量发展、保障国家水安全的重要路径。以陕西数字孪生水利体系建设特点和重点内容为切入点，加快构建陕西省天空地水工一体的监测感知体系，夯实数字孪生水利建设的算据基础，主要内容包括现状与问题分析、目标与需求分析、基础能力提升、业务监测感知、重点项目方案、组织实施方案、效益和风险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2、资质要求：供应商须具备工程设计水利行业乙级（含乙级）以上资质，须提供有效的资质证书复印件。</w:t>
      </w:r>
    </w:p>
    <w:p>
      <w:pPr>
        <w:pStyle w:val="null3"/>
      </w:pPr>
      <w:r>
        <w:rPr>
          <w:rFonts w:ascii="仿宋_GB2312" w:hAnsi="仿宋_GB2312" w:cs="仿宋_GB2312" w:eastAsia="仿宋_GB2312"/>
        </w:rPr>
        <w:t>3、税收缴纳证明：提供递交投标文件截止之日前一年内任意一个月的依法缴纳税收的相关凭据（时间以税款所属日期为准）复印件。依法免税或无须缴纳税收的供应商，应提供相应证明文件复印件。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复印件。依法不需要缴纳社会保障资金的供应商应提供相关证明文件复印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6、项目负责人要求：项目负责人须为本单位人员并提供相应证明材料。项目负责人须具有水利相关专业高级（含高级）以上技术职称，并提供有效的高级（含高级）以上技术职称证书复印件。</w:t>
      </w:r>
    </w:p>
    <w:p>
      <w:pPr>
        <w:pStyle w:val="null3"/>
      </w:pPr>
      <w:r>
        <w:rPr>
          <w:rFonts w:ascii="仿宋_GB2312" w:hAnsi="仿宋_GB2312" w:cs="仿宋_GB2312" w:eastAsia="仿宋_GB2312"/>
        </w:rPr>
        <w:t>7、无重大违法记录的书面声明：参加政府采购活动前三年内，在经营活动中没有重大违法记录书面声明并加盖公章。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号）、《国家发展和改革委员会办公厅关于招标代理服务收费有关问题的通知》（发改办价格〔2003〕857号）及（发改办价格〔2011〕534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符合招标文件要求，符合国家行业标准、规范。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推进数字孪生水利建设是发展水利新质生产力、推动水利高质量发展、保障国家水安全的重要路径。以陕西数字孪生水利体系建设特点和重点内容为切入点，加快构建陕西省天空地水工一体的监测感知体系，夯实数字孪生水利建设的算据基础，主要内容包括现状与问题分析、目标与需求分析、基础能力提升、业务监测感知、重点项目方案、组织实施方案、效益和风险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陕西省数字孪生水利天空地水工一体化监测感知夯基提能行动2024-2026年实施方案设计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标的名称：陕西省数字孪生水利天空地水工一体化监测感知夯基提能行动2024-2026年实施方案设计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54"/>
              <w:jc w:val="both"/>
            </w:pPr>
            <w:r>
              <w:rPr>
                <w:rFonts w:ascii="仿宋_GB2312" w:hAnsi="仿宋_GB2312" w:cs="仿宋_GB2312" w:eastAsia="仿宋_GB2312"/>
                <w:sz w:val="24"/>
              </w:rPr>
              <w:t>一、主要任务</w:t>
            </w:r>
          </w:p>
          <w:p>
            <w:pPr>
              <w:pStyle w:val="null3"/>
              <w:ind w:firstLine="554"/>
              <w:jc w:val="both"/>
            </w:pPr>
            <w:r>
              <w:rPr>
                <w:rFonts w:ascii="仿宋_GB2312" w:hAnsi="仿宋_GB2312" w:cs="仿宋_GB2312" w:eastAsia="仿宋_GB2312"/>
                <w:sz w:val="24"/>
              </w:rPr>
              <w:t>以陕西数字孪生水利体系建设特点和重点内容为切入点，以水旱灾害防御、水资源监控管理、水工程运行管控、河湖长制及河湖管理、水保生态环境治理、农村水利水电的智能化应用、智慧化服务数据资源建设为重点，基于已积累的数据资源和已建成的监测感知体系，厘清提升数字孪生流域、数字孪生水网、数字孪生工程新质生产力监测感知能力的应用需求，提出主要建设任务，充分发挥卫星遥感、空中雷达、地面传感、水下探测、工程监测等</w:t>
            </w:r>
            <w:r>
              <w:rPr>
                <w:rFonts w:ascii="仿宋_GB2312" w:hAnsi="仿宋_GB2312" w:cs="仿宋_GB2312" w:eastAsia="仿宋_GB2312"/>
                <w:sz w:val="24"/>
              </w:rPr>
              <w:t>“天空地水工”一体化智能化监测感知技术的效能，在夯基、提能、支撑智慧水利体系建设同时，重点加强我国中央水塔生态保护、南水北调中线水源地环境治理、陕北水保治理减少入黄泥沙、渭河流域水资源管理与调配、陕西七大江河流域防洪智能监测感知能力建设等项目的方案设计。</w:t>
            </w:r>
          </w:p>
          <w:p>
            <w:pPr>
              <w:pStyle w:val="null3"/>
              <w:ind w:firstLine="554"/>
              <w:jc w:val="both"/>
            </w:pPr>
            <w:r>
              <w:rPr>
                <w:rFonts w:ascii="仿宋_GB2312" w:hAnsi="仿宋_GB2312" w:cs="仿宋_GB2312" w:eastAsia="仿宋_GB2312"/>
                <w:sz w:val="24"/>
              </w:rPr>
              <w:t>二、主要工作内容</w:t>
            </w:r>
          </w:p>
          <w:p>
            <w:pPr>
              <w:pStyle w:val="null3"/>
              <w:ind w:firstLine="554"/>
              <w:jc w:val="both"/>
            </w:pPr>
            <w:r>
              <w:rPr>
                <w:rFonts w:ascii="仿宋_GB2312" w:hAnsi="仿宋_GB2312" w:cs="仿宋_GB2312" w:eastAsia="仿宋_GB2312"/>
                <w:sz w:val="24"/>
              </w:rPr>
              <w:t>1、调研与数据收集</w:t>
            </w:r>
          </w:p>
          <w:p>
            <w:pPr>
              <w:pStyle w:val="null3"/>
              <w:ind w:firstLine="554"/>
              <w:jc w:val="both"/>
            </w:pPr>
            <w:r>
              <w:rPr>
                <w:rFonts w:ascii="仿宋_GB2312" w:hAnsi="仿宋_GB2312" w:cs="仿宋_GB2312" w:eastAsia="仿宋_GB2312"/>
                <w:sz w:val="24"/>
              </w:rPr>
              <w:t>对省市县相关涉水部门进行调研，收集整理并分析现状年</w:t>
            </w:r>
            <w:r>
              <w:rPr>
                <w:rFonts w:ascii="仿宋_GB2312" w:hAnsi="仿宋_GB2312" w:cs="仿宋_GB2312" w:eastAsia="仿宋_GB2312"/>
                <w:sz w:val="24"/>
              </w:rPr>
              <w:t>“天空地水工”监测感知体系建设情况及已取得的相关成果。</w:t>
            </w:r>
          </w:p>
          <w:p>
            <w:pPr>
              <w:pStyle w:val="null3"/>
              <w:ind w:firstLine="554"/>
              <w:jc w:val="both"/>
            </w:pPr>
            <w:r>
              <w:rPr>
                <w:rFonts w:ascii="仿宋_GB2312" w:hAnsi="仿宋_GB2312" w:cs="仿宋_GB2312" w:eastAsia="仿宋_GB2312"/>
                <w:sz w:val="24"/>
              </w:rPr>
              <w:t>2、现状与问题分析</w:t>
            </w:r>
          </w:p>
          <w:p>
            <w:pPr>
              <w:pStyle w:val="null3"/>
              <w:ind w:firstLine="554"/>
              <w:jc w:val="both"/>
            </w:pPr>
            <w:r>
              <w:rPr>
                <w:rFonts w:ascii="仿宋_GB2312" w:hAnsi="仿宋_GB2312" w:cs="仿宋_GB2312" w:eastAsia="仿宋_GB2312"/>
                <w:sz w:val="24"/>
              </w:rPr>
              <w:t>描述各项业务现状和监测感知体系建设现状，提出业务的难点痛点问题，并根据业务问题，提出目前监测感知体系存在的问题，做到摸清现实情况，找到薄弱环节。</w:t>
            </w:r>
          </w:p>
          <w:p>
            <w:pPr>
              <w:pStyle w:val="null3"/>
              <w:ind w:firstLine="554"/>
              <w:jc w:val="both"/>
            </w:pPr>
            <w:r>
              <w:rPr>
                <w:rFonts w:ascii="仿宋_GB2312" w:hAnsi="仿宋_GB2312" w:cs="仿宋_GB2312" w:eastAsia="仿宋_GB2312"/>
                <w:sz w:val="24"/>
              </w:rPr>
              <w:t>3、目标与需求分析</w:t>
            </w:r>
          </w:p>
          <w:p>
            <w:pPr>
              <w:pStyle w:val="null3"/>
              <w:ind w:firstLine="554"/>
              <w:jc w:val="both"/>
            </w:pPr>
            <w:r>
              <w:rPr>
                <w:rFonts w:ascii="仿宋_GB2312" w:hAnsi="仿宋_GB2312" w:cs="仿宋_GB2312" w:eastAsia="仿宋_GB2312"/>
                <w:sz w:val="24"/>
              </w:rPr>
              <w:t>对现有水利监测设施的工程布局、监测要素、运行状况等进行全面评估，结合现状问题与差距，提出三年行动预期总体目标和业务目标，根据问题差距开展</w:t>
            </w:r>
            <w:r>
              <w:rPr>
                <w:rFonts w:ascii="仿宋_GB2312" w:hAnsi="仿宋_GB2312" w:cs="仿宋_GB2312" w:eastAsia="仿宋_GB2312"/>
                <w:sz w:val="24"/>
              </w:rPr>
              <w:t>“天空地水工”一体化监测感知的需求分析，从业务需求引出数据需求，从数据需求引出建设需求。</w:t>
            </w:r>
          </w:p>
          <w:p>
            <w:pPr>
              <w:pStyle w:val="null3"/>
              <w:ind w:firstLine="554"/>
              <w:jc w:val="both"/>
            </w:pPr>
            <w:r>
              <w:rPr>
                <w:rFonts w:ascii="仿宋_GB2312" w:hAnsi="仿宋_GB2312" w:cs="仿宋_GB2312" w:eastAsia="仿宋_GB2312"/>
                <w:sz w:val="24"/>
              </w:rPr>
              <w:t>4、基础能力提升设计</w:t>
            </w:r>
          </w:p>
          <w:p>
            <w:pPr>
              <w:pStyle w:val="null3"/>
              <w:ind w:firstLine="554"/>
              <w:jc w:val="both"/>
            </w:pPr>
            <w:r>
              <w:rPr>
                <w:rFonts w:ascii="仿宋_GB2312" w:hAnsi="仿宋_GB2312" w:cs="仿宋_GB2312" w:eastAsia="仿宋_GB2312"/>
                <w:sz w:val="24"/>
              </w:rPr>
              <w:t>夯实技术装备、通信安全、数据归集、制度标准四个方面的通用公用基础，重点加强监测数据汇集和处理分析能力。</w:t>
            </w:r>
          </w:p>
          <w:p>
            <w:pPr>
              <w:pStyle w:val="null3"/>
              <w:ind w:firstLine="554"/>
              <w:jc w:val="both"/>
            </w:pPr>
            <w:r>
              <w:rPr>
                <w:rFonts w:ascii="仿宋_GB2312" w:hAnsi="仿宋_GB2312" w:cs="仿宋_GB2312" w:eastAsia="仿宋_GB2312"/>
                <w:sz w:val="24"/>
              </w:rPr>
              <w:t>5、业务监测感知设计</w:t>
            </w:r>
          </w:p>
          <w:p>
            <w:pPr>
              <w:pStyle w:val="null3"/>
              <w:ind w:firstLine="554"/>
              <w:jc w:val="both"/>
            </w:pPr>
            <w:r>
              <w:rPr>
                <w:rFonts w:ascii="仿宋_GB2312" w:hAnsi="仿宋_GB2312" w:cs="仿宋_GB2312" w:eastAsia="仿宋_GB2312"/>
                <w:sz w:val="24"/>
              </w:rPr>
              <w:t>覆盖水旱灾害防御、水资源管理与调配、水利工程建设和运行管理、河湖长制及河湖管理、水土保持和农村水利水电等重点水利业务，涵盖卫星、雷达、无人机、无人船、视频监测点、地面监测站、水面水下监测点、水利工程监测站等多种采集手段，构建陕西省数字孪生水利</w:t>
            </w:r>
            <w:r>
              <w:rPr>
                <w:rFonts w:ascii="仿宋_GB2312" w:hAnsi="仿宋_GB2312" w:cs="仿宋_GB2312" w:eastAsia="仿宋_GB2312"/>
                <w:sz w:val="24"/>
              </w:rPr>
              <w:t>“天空地水工”一体化监测全覆盖的监测感知体系。</w:t>
            </w:r>
          </w:p>
          <w:p>
            <w:pPr>
              <w:pStyle w:val="null3"/>
              <w:ind w:firstLine="554"/>
              <w:jc w:val="both"/>
            </w:pPr>
            <w:r>
              <w:rPr>
                <w:rFonts w:ascii="仿宋_GB2312" w:hAnsi="仿宋_GB2312" w:cs="仿宋_GB2312" w:eastAsia="仿宋_GB2312"/>
                <w:sz w:val="24"/>
              </w:rPr>
              <w:t>6、重点项目方案设计</w:t>
            </w:r>
          </w:p>
          <w:p>
            <w:pPr>
              <w:pStyle w:val="null3"/>
              <w:ind w:firstLine="554"/>
              <w:jc w:val="both"/>
            </w:pPr>
            <w:r>
              <w:rPr>
                <w:rFonts w:ascii="仿宋_GB2312" w:hAnsi="仿宋_GB2312" w:cs="仿宋_GB2312" w:eastAsia="仿宋_GB2312"/>
                <w:sz w:val="24"/>
              </w:rPr>
              <w:t>根据陕西水利在水旱灾害防御、水资源管理与调配、水土保持、生态治理等方面的业务特点，以陕南水源生态动态感知、秦岭水利一体化感知提升、陕北水土保持综合监测等为主要切入点，梳理凝练出具有亮点、创新点的重点建设项目，明确三年建设目标与指标、内容与规模。</w:t>
            </w:r>
          </w:p>
          <w:p>
            <w:pPr>
              <w:pStyle w:val="null3"/>
              <w:ind w:firstLine="554"/>
              <w:jc w:val="both"/>
            </w:pPr>
            <w:r>
              <w:rPr>
                <w:rFonts w:ascii="仿宋_GB2312" w:hAnsi="仿宋_GB2312" w:cs="仿宋_GB2312" w:eastAsia="仿宋_GB2312"/>
                <w:sz w:val="24"/>
              </w:rPr>
              <w:t>7、组织实施方案设计</w:t>
            </w:r>
          </w:p>
          <w:p>
            <w:pPr>
              <w:pStyle w:val="null3"/>
              <w:ind w:firstLine="554"/>
              <w:jc w:val="both"/>
            </w:pPr>
            <w:r>
              <w:rPr>
                <w:rFonts w:ascii="仿宋_GB2312" w:hAnsi="仿宋_GB2312" w:cs="仿宋_GB2312" w:eastAsia="仿宋_GB2312"/>
                <w:sz w:val="24"/>
              </w:rPr>
              <w:t>从项目组织机构、分工和责任、计划安排、保障措施等方面，完善组织实施方案设计。</w:t>
            </w:r>
          </w:p>
          <w:p>
            <w:pPr>
              <w:pStyle w:val="null3"/>
              <w:ind w:firstLine="554"/>
              <w:jc w:val="both"/>
            </w:pPr>
            <w:r>
              <w:rPr>
                <w:rFonts w:ascii="仿宋_GB2312" w:hAnsi="仿宋_GB2312" w:cs="仿宋_GB2312" w:eastAsia="仿宋_GB2312"/>
                <w:sz w:val="24"/>
              </w:rPr>
              <w:t>8、效益和风险分析</w:t>
            </w:r>
          </w:p>
          <w:p>
            <w:pPr>
              <w:pStyle w:val="null3"/>
              <w:ind w:firstLine="554"/>
              <w:jc w:val="both"/>
            </w:pPr>
            <w:r>
              <w:rPr>
                <w:rFonts w:ascii="仿宋_GB2312" w:hAnsi="仿宋_GB2312" w:cs="仿宋_GB2312" w:eastAsia="仿宋_GB2312"/>
                <w:sz w:val="24"/>
              </w:rPr>
              <w:t>面向问题和需求以及夯基提能行动达到的目标，分析项目产生的经济效益、社会效益、生态效益；分析项目实施过程中存在的潜在风险，对相关风险产生的原因进行分析研判，提出风险应对措施。</w:t>
            </w:r>
          </w:p>
          <w:p>
            <w:pPr>
              <w:pStyle w:val="null3"/>
              <w:ind w:firstLine="554"/>
              <w:jc w:val="both"/>
            </w:pPr>
            <w:r>
              <w:rPr>
                <w:rFonts w:ascii="仿宋_GB2312" w:hAnsi="仿宋_GB2312" w:cs="仿宋_GB2312" w:eastAsia="仿宋_GB2312"/>
                <w:sz w:val="24"/>
              </w:rPr>
              <w:t>三、编制依据</w:t>
            </w:r>
          </w:p>
          <w:p>
            <w:pPr>
              <w:pStyle w:val="null3"/>
              <w:ind w:firstLine="554"/>
              <w:jc w:val="both"/>
            </w:pPr>
            <w:r>
              <w:rPr>
                <w:rFonts w:ascii="仿宋_GB2312" w:hAnsi="仿宋_GB2312" w:cs="仿宋_GB2312" w:eastAsia="仿宋_GB2312"/>
                <w:sz w:val="24"/>
              </w:rPr>
              <w:t>1、</w:t>
            </w:r>
            <w:r>
              <w:rPr>
                <w:rFonts w:ascii="仿宋_GB2312" w:hAnsi="仿宋_GB2312" w:cs="仿宋_GB2312" w:eastAsia="仿宋_GB2312"/>
                <w:sz w:val="24"/>
              </w:rPr>
              <w:t>《中华人民共和国民法典》</w:t>
            </w:r>
            <w:r>
              <w:rPr>
                <w:rFonts w:ascii="仿宋_GB2312" w:hAnsi="仿宋_GB2312" w:cs="仿宋_GB2312" w:eastAsia="仿宋_GB2312"/>
                <w:sz w:val="24"/>
              </w:rPr>
              <w:t>《中华人民共和国水法》《中华人民共和国防洪法》等国家、省级法律法规。</w:t>
            </w:r>
          </w:p>
          <w:p>
            <w:pPr>
              <w:pStyle w:val="null3"/>
              <w:ind w:firstLine="554"/>
              <w:jc w:val="both"/>
            </w:pPr>
            <w:r>
              <w:rPr>
                <w:rFonts w:ascii="仿宋_GB2312" w:hAnsi="仿宋_GB2312" w:cs="仿宋_GB2312" w:eastAsia="仿宋_GB2312"/>
                <w:sz w:val="24"/>
              </w:rPr>
              <w:t>2、《数字孪生水利“天空地水工“一体化监测感知夯基提能行动方案(2024-2026年)》（水利部，2024年7月）。</w:t>
            </w:r>
          </w:p>
          <w:p>
            <w:pPr>
              <w:pStyle w:val="null3"/>
              <w:ind w:firstLine="554"/>
              <w:jc w:val="both"/>
            </w:pPr>
            <w:r>
              <w:rPr>
                <w:rFonts w:ascii="仿宋_GB2312" w:hAnsi="仿宋_GB2312" w:cs="仿宋_GB2312" w:eastAsia="仿宋_GB2312"/>
                <w:sz w:val="24"/>
              </w:rPr>
              <w:t>3、《数字孪生水利“天空地水工”一体化监测感知夯基提能行动实施方案（2024—2026年）编制大纲》（水利部，2024年7月）。</w:t>
            </w:r>
          </w:p>
          <w:p>
            <w:pPr>
              <w:pStyle w:val="null3"/>
              <w:ind w:firstLine="554"/>
              <w:jc w:val="both"/>
            </w:pPr>
            <w:r>
              <w:rPr>
                <w:rFonts w:ascii="仿宋_GB2312" w:hAnsi="仿宋_GB2312" w:cs="仿宋_GB2312" w:eastAsia="仿宋_GB2312"/>
                <w:sz w:val="24"/>
              </w:rPr>
              <w:t>4、《水利部网信办关于开展数字孪生水利“天空地水工”一体化监测感知夯基提能行动实施方案（2024—2026年）编制工作的通知》（网信办函，【2024】86号）。</w:t>
            </w:r>
          </w:p>
          <w:p>
            <w:pPr>
              <w:pStyle w:val="null3"/>
              <w:ind w:firstLine="554"/>
              <w:jc w:val="both"/>
            </w:pPr>
            <w:r>
              <w:rPr>
                <w:rFonts w:ascii="仿宋_GB2312" w:hAnsi="仿宋_GB2312" w:cs="仿宋_GB2312" w:eastAsia="仿宋_GB2312"/>
                <w:sz w:val="24"/>
              </w:rPr>
              <w:t>5、《数字孪生水网建设技术导则（试行）》（水利部，2022年11月）。</w:t>
            </w:r>
          </w:p>
          <w:p>
            <w:pPr>
              <w:pStyle w:val="null3"/>
              <w:ind w:firstLine="554"/>
              <w:jc w:val="both"/>
            </w:pPr>
            <w:r>
              <w:rPr>
                <w:rFonts w:ascii="仿宋_GB2312" w:hAnsi="仿宋_GB2312" w:cs="仿宋_GB2312" w:eastAsia="仿宋_GB2312"/>
                <w:sz w:val="24"/>
              </w:rPr>
              <w:t>6、《数字孪生流域建设技术大纲（试行）》（水利部，2022年3月）。</w:t>
            </w:r>
          </w:p>
          <w:p>
            <w:pPr>
              <w:pStyle w:val="null3"/>
              <w:ind w:firstLine="554"/>
              <w:jc w:val="both"/>
            </w:pPr>
            <w:r>
              <w:rPr>
                <w:rFonts w:ascii="仿宋_GB2312" w:hAnsi="仿宋_GB2312" w:cs="仿宋_GB2312" w:eastAsia="仿宋_GB2312"/>
                <w:sz w:val="24"/>
              </w:rPr>
              <w:t>7、《数字孪生水利工程建设技术导则（试行）》（水利部，2022年3月）。</w:t>
            </w:r>
          </w:p>
          <w:p>
            <w:pPr>
              <w:pStyle w:val="null3"/>
              <w:ind w:firstLine="554"/>
              <w:jc w:val="both"/>
            </w:pPr>
            <w:r>
              <w:rPr>
                <w:rFonts w:ascii="仿宋_GB2312" w:hAnsi="仿宋_GB2312" w:cs="仿宋_GB2312" w:eastAsia="仿宋_GB2312"/>
                <w:sz w:val="24"/>
              </w:rPr>
              <w:t>8、《水利业务“四预”基本技术要求（试行）》（水利部，2022年3月）。</w:t>
            </w:r>
          </w:p>
          <w:p>
            <w:pPr>
              <w:pStyle w:val="null3"/>
              <w:ind w:firstLine="554"/>
              <w:jc w:val="both"/>
            </w:pPr>
            <w:r>
              <w:rPr>
                <w:rFonts w:ascii="仿宋_GB2312" w:hAnsi="仿宋_GB2312" w:cs="仿宋_GB2312" w:eastAsia="仿宋_GB2312"/>
                <w:sz w:val="24"/>
              </w:rPr>
              <w:t>9、《数字孪生流域共建共享管理办法（试行）》（水利部，2022年3月）。</w:t>
            </w:r>
          </w:p>
          <w:p>
            <w:pPr>
              <w:pStyle w:val="null3"/>
              <w:ind w:firstLine="554"/>
              <w:jc w:val="both"/>
            </w:pPr>
            <w:r>
              <w:rPr>
                <w:rFonts w:ascii="仿宋_GB2312" w:hAnsi="仿宋_GB2312" w:cs="仿宋_GB2312" w:eastAsia="仿宋_GB2312"/>
                <w:sz w:val="24"/>
              </w:rPr>
              <w:t>10、《陕西省智慧水利“十四五”规划》（陕西省水利厅，2021年7月）。</w:t>
            </w:r>
          </w:p>
          <w:p>
            <w:pPr>
              <w:pStyle w:val="null3"/>
              <w:ind w:firstLine="554"/>
              <w:jc w:val="both"/>
            </w:pPr>
            <w:r>
              <w:rPr>
                <w:rFonts w:ascii="仿宋_GB2312" w:hAnsi="仿宋_GB2312" w:cs="仿宋_GB2312" w:eastAsia="仿宋_GB2312"/>
                <w:sz w:val="24"/>
              </w:rPr>
              <w:t>11、《陕西省智慧水利建设项目可行性研究报告》</w:t>
            </w:r>
          </w:p>
          <w:p>
            <w:pPr>
              <w:pStyle w:val="null3"/>
              <w:ind w:firstLine="554"/>
              <w:jc w:val="both"/>
            </w:pPr>
            <w:r>
              <w:rPr>
                <w:rFonts w:ascii="仿宋_GB2312" w:hAnsi="仿宋_GB2312" w:cs="仿宋_GB2312" w:eastAsia="仿宋_GB2312"/>
                <w:sz w:val="24"/>
              </w:rPr>
              <w:t>12、《陕西省水网建设规划》。</w:t>
            </w:r>
          </w:p>
          <w:p>
            <w:pPr>
              <w:pStyle w:val="null3"/>
              <w:ind w:firstLine="554"/>
              <w:jc w:val="both"/>
            </w:pPr>
            <w:r>
              <w:rPr>
                <w:rFonts w:ascii="仿宋_GB2312" w:hAnsi="仿宋_GB2312" w:cs="仿宋_GB2312" w:eastAsia="仿宋_GB2312"/>
                <w:sz w:val="24"/>
              </w:rPr>
              <w:t>13、其他相关规程规范和技术要求。</w:t>
            </w:r>
          </w:p>
          <w:p>
            <w:pPr>
              <w:pStyle w:val="null3"/>
              <w:ind w:firstLine="554"/>
              <w:jc w:val="both"/>
            </w:pPr>
            <w:r>
              <w:rPr>
                <w:rFonts w:ascii="仿宋_GB2312" w:hAnsi="仿宋_GB2312" w:cs="仿宋_GB2312" w:eastAsia="仿宋_GB2312"/>
                <w:sz w:val="24"/>
              </w:rPr>
              <w:t>四、主要成果递交</w:t>
            </w:r>
          </w:p>
          <w:p>
            <w:pPr>
              <w:pStyle w:val="null3"/>
            </w:pPr>
            <w:r>
              <w:rPr>
                <w:rFonts w:ascii="仿宋_GB2312" w:hAnsi="仿宋_GB2312" w:cs="仿宋_GB2312" w:eastAsia="仿宋_GB2312"/>
                <w:sz w:val="24"/>
              </w:rPr>
              <w:t xml:space="preserve">  完成《陕西省数字孪生水利天空地水工一体化监测感知夯基提能行动</w:t>
            </w:r>
            <w:r>
              <w:rPr>
                <w:rFonts w:ascii="仿宋_GB2312" w:hAnsi="仿宋_GB2312" w:cs="仿宋_GB2312" w:eastAsia="仿宋_GB2312"/>
                <w:sz w:val="24"/>
              </w:rPr>
              <w:t>2024-2026年实施方案设计》报告编制。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本项目有明确的项目负责人及团队组成要求，具体详见第五章 5.6.2评分标准。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满足技术要求、满足国家及行业相关技术规范要求。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供应商向采购人提交验收申请。2）采购人收到验收申请后组织验收，验收时供应商应予以配合并提供验收所需的全部资料，若供应商不配合或者未按合同要求提供服务的，采购人将拒绝验收。3）验收依据：国家、行业的标准和有关规定，招标文件、投标文件、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招标文件中的相关条款执行。2）供应商未按合同要求提服务或服务质量不能满足招标要求，且在规定时间内未达到合同约定的，采购人有权终止合同，对采购人造成经济等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其开标前三个月内基本开户银行出具的资信证明，或信用担保机构出具的投标担保函（以上三种形式的资料提供任何一种即可) 。</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供应商须具备工程设计水利行业乙级（含乙级）以上资质，须提供有效的资质证书复印件。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提供递交投标文件截止之日前一年内任意一个月的社会保障资金缴存单据或社保机构开具的社会保险参保缴费情况证明复印件。依法不需要缴纳社会保障资金的供应商应提供相关证明文件复印件。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项目负责人须为本单位人员并提供相应证明材料。项目负责人须具有水利相关专业高级（含高级）以上技术职称，并提供有效的高级（含高级）以上技术职称证书复印件。</w:t>
            </w:r>
          </w:p>
        </w:tc>
        <w:tc>
          <w:tcPr>
            <w:tcW w:type="dxa" w:w="1661"/>
          </w:tcPr>
          <w:p>
            <w:pPr>
              <w:pStyle w:val="null3"/>
            </w:pPr>
            <w:r>
              <w:rPr>
                <w:rFonts w:ascii="仿宋_GB2312" w:hAnsi="仿宋_GB2312" w:cs="仿宋_GB2312" w:eastAsia="仿宋_GB2312"/>
              </w:rPr>
              <w:t>投标人应提交的相关资格证明材料.docx 项目负责人.docx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服务内容及服务邀请应答表 人员配备.docx 中小企业声明函 授权委托书.docx 商务应答表.docx 供应商认为有必要说明的事宜（如有）.docx 投标人应提交的相关资格证明材料.docx 投标函 承揽的类似项目情况表.docx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符合第六章“投标文件格式”要求</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人员配备.docx 承揽的类似项目情况表.docx 授权委托书.docx 标的清单 商务应答表.docx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唯一报价且不超过预算（最高限价）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供应商针对本项目报告编制结构框架及内容进行打分：供应商报告结构框架完整、编制内容全面，对评审内容中的各项要求有详细描述，切合本项目实际情况，提出步骤清晰、方案合理且具有针对性，方案能够紧扣项目实际情况，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工作进度计划及保证措施</w:t>
            </w:r>
          </w:p>
        </w:tc>
        <w:tc>
          <w:tcPr>
            <w:tcW w:type="dxa" w:w="2492"/>
          </w:tcPr>
          <w:p>
            <w:pPr>
              <w:pStyle w:val="null3"/>
            </w:pPr>
            <w:r>
              <w:rPr>
                <w:rFonts w:ascii="仿宋_GB2312" w:hAnsi="仿宋_GB2312" w:cs="仿宋_GB2312" w:eastAsia="仿宋_GB2312"/>
              </w:rPr>
              <w:t>根据供应商针对本项目工作进度计划及保证措施进行打分：工作进度计划及保证措施步骤节点清晰、切合项目实际。每项完全满足得4分，有缺陷或者不满足扣2分，缺项不得分。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根据供应商提供的针对本项目组织机构进行打分：组织机构健全、团队人员配备充分满足项目要求，专业配备齐全，分工明确，每项完全满足评审标准3分，有缺陷或者不满足扣1.5分，缺项不得分。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项目实施经验的，每个得1分，最多得3分；【注】投标文件中须提供项目负责人身份证、职称证、在职证明（证明人员与投标人具有劳动关系的证明材料，例如劳动合同及工资发放记录或近三个月中任意一个月社保缴纳证明）复印件，并加盖单位公章。②项目负责人类似业绩须提供中标/成交通知书、合同或业主盖章的证明材料中的任意一种，证明材料中应载明项目负责人姓名，且在项目中担任项目负责人或技术负责人职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配备1名水利类相关专业正高级工程师职称的得2分，每配备1名副高级技术职称的得1分。本项最多得6分。【注】以上同一人员不得重复计分，投标文件中须提供人员身份证、职称证、在职证明（证明人员与投标人具有劳动关系的证明材料，例如劳动合同或近三个月中任意一个月社保缴纳证明）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近年具有类似项目业绩，每具有一个得3分，最高得9分。 注：应附合同协议书或中标（成交）通知书或立项文件或成果文件（如论文、课题、专利等）复印件。类似项目指：2022年4月1日至投标截止日前，承揽过信息化项目方案编制。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 满足招标文件要求且投标报价最低的为评标基准价，其价格分为满分。价格分按照下列公式计算。 报价得分=（评标基准价/有效报价）×价格权重×100 符合招标文件规定的小微企业或监狱企业或残疾人福利性单位优惠条件的供应商，价格给予10%的扣除，用扣除后的价格参与评审。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详见附件：供应商认为有必要说明的事宜（如有）.docx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