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版本号：DLZB-2026-030120260327001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网络行政执法电子数据取证平台服务项目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DLZB-2026-0301</w:t>
      </w:r>
      <w:r>
        <w:br/>
      </w:r>
      <w:r>
        <w:br/>
      </w:r>
      <w:r>
        <w:br/>
      </w:r>
    </w:p>
    <w:p>
      <w:pPr>
        <w:pStyle w:val="null3"/>
        <w:jc w:val="center"/>
        <w:outlineLvl w:val="5"/>
      </w:pPr>
      <w:r>
        <w:rPr>
          <w:rFonts w:ascii="仿宋_GB2312" w:hAnsi="仿宋_GB2312" w:cs="仿宋_GB2312" w:eastAsia="仿宋_GB2312"/>
          <w:sz w:val="15"/>
          <w:b/>
        </w:rPr>
        <w:t>陕西省互联网信息办公室</w:t>
      </w:r>
    </w:p>
    <w:p>
      <w:pPr>
        <w:pStyle w:val="null3"/>
        <w:jc w:val="center"/>
        <w:outlineLvl w:val="5"/>
      </w:pPr>
      <w:r>
        <w:rPr>
          <w:rFonts w:ascii="仿宋_GB2312" w:hAnsi="仿宋_GB2312" w:cs="仿宋_GB2312" w:eastAsia="仿宋_GB2312"/>
          <w:sz w:val="15"/>
          <w:b/>
        </w:rPr>
        <w:t>典亮工程项目管理有限公司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典亮工程项目管理有限公司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陕西省互联网信息办公室</w:t>
      </w:r>
      <w:r>
        <w:rPr>
          <w:rFonts w:ascii="仿宋_GB2312" w:hAnsi="仿宋_GB2312" w:cs="仿宋_GB2312" w:eastAsia="仿宋_GB2312"/>
        </w:rPr>
        <w:t>委托，拟对</w:t>
      </w:r>
      <w:r>
        <w:rPr>
          <w:rFonts w:ascii="仿宋_GB2312" w:hAnsi="仿宋_GB2312" w:cs="仿宋_GB2312" w:eastAsia="仿宋_GB2312"/>
        </w:rPr>
        <w:t>网络行政执法电子数据取证平台服务项目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DLZB-2026-0301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网络行政执法电子数据取证平台服务项目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网络行政执法电子数据取证平台服务项目。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采购包1（网络行政执法电子数据取证平台服务项目）：属于专门面向中小企业采购。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2、法定代表人或其授权委托书：法定代表人授权委托书（附法定代表人身份证复印件及被授权人身份证复印件）；法定代表人直接参加投标只须提供法定代表人资格证明书（附法定代表人身份证复印件）。</w:t>
      </w:r>
    </w:p>
    <w:p>
      <w:pPr>
        <w:pStyle w:val="null3"/>
      </w:pPr>
      <w:r>
        <w:rPr>
          <w:rFonts w:ascii="仿宋_GB2312" w:hAnsi="仿宋_GB2312" w:cs="仿宋_GB2312" w:eastAsia="仿宋_GB2312"/>
        </w:rPr>
        <w:t>3、信用记录：供应商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陕西省互联网信息办公室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雁塔路南段10号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布老师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029-63907132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典亮工程项目管理有限公司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西安市莲湖区南二环西段9号泊达国际酒店27楼东户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佘翠、何勇、许彩茹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029-87613089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代理服务费收费标准：成交供应商参照国家计委关于印发《招标代理服务收费管理暂行办法》 的通知（计价格〔2002〕1980号）、《国家发展和改革委员会办公厅关于招标代理服务收费 有关问题的通知》（发改办价格〔2003〕857号）文件规定，按照标准向采购代理机构一次性支付采购代理服务费。 代理服务费账户： 公司名称：典亮工程项目管理有限公司 账 号: 2701050701201000053069 开 户 行：陕西秦农农村商业银行股份有限公司劳动南路支行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陕西省互联网信息办公室</w:t>
      </w:r>
      <w:r>
        <w:rPr>
          <w:rFonts w:ascii="仿宋_GB2312" w:hAnsi="仿宋_GB2312" w:cs="仿宋_GB2312" w:eastAsia="仿宋_GB2312"/>
        </w:rPr>
        <w:t>和</w:t>
      </w:r>
      <w:r>
        <w:rPr>
          <w:rFonts w:ascii="仿宋_GB2312" w:hAnsi="仿宋_GB2312" w:cs="仿宋_GB2312" w:eastAsia="仿宋_GB2312"/>
        </w:rPr>
        <w:t>典亮工程项目管理有限公司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典亮工程项目管理有限公司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陕西省互联网信息办公室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典亮工程项目管理有限公司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符合采购文件要求，符合采购人要求。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网络行政执法电子数据取证平台服务项目。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网络行政执法电子数据取证平台服务项目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标的名称：网络行政执法电子数据取证平台服务项目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rPr>
              <w:t>一、服务目标</w:t>
            </w:r>
          </w:p>
          <w:p>
            <w:pPr>
              <w:pStyle w:val="null3"/>
            </w:pPr>
            <w:r>
              <w:rPr>
                <w:rFonts w:ascii="仿宋_GB2312" w:hAnsi="仿宋_GB2312" w:cs="仿宋_GB2312" w:eastAsia="仿宋_GB2312"/>
              </w:rPr>
              <w:t>本项目旨在通过采购网络行政执法电子数据取证平台服务，实现以下目标：</w:t>
            </w:r>
          </w:p>
          <w:p>
            <w:pPr>
              <w:pStyle w:val="null3"/>
            </w:pPr>
            <w:r>
              <w:rPr>
                <w:rFonts w:ascii="仿宋_GB2312" w:hAnsi="仿宋_GB2312" w:cs="仿宋_GB2312" w:eastAsia="仿宋_GB2312"/>
              </w:rPr>
              <w:t>1.提升取证效率：通过自动化、智能化的取证工具，缩短取证时间，提高取证效率。</w:t>
            </w:r>
          </w:p>
          <w:p>
            <w:pPr>
              <w:pStyle w:val="null3"/>
            </w:pPr>
            <w:r>
              <w:rPr>
                <w:rFonts w:ascii="仿宋_GB2312" w:hAnsi="仿宋_GB2312" w:cs="仿宋_GB2312" w:eastAsia="仿宋_GB2312"/>
              </w:rPr>
              <w:t>2.保障证据效力：确保取证过程符合司法规范，提高电子证据的采信率。</w:t>
            </w:r>
          </w:p>
          <w:p>
            <w:pPr>
              <w:pStyle w:val="null3"/>
            </w:pPr>
            <w:r>
              <w:rPr>
                <w:rFonts w:ascii="仿宋_GB2312" w:hAnsi="仿宋_GB2312" w:cs="仿宋_GB2312" w:eastAsia="仿宋_GB2312"/>
              </w:rPr>
              <w:t>3.覆盖多元场景：支持对网站、论坛、贴吧、移动客户端、音视频等各类网络载体的快速取证。</w:t>
            </w:r>
          </w:p>
          <w:p>
            <w:pPr>
              <w:pStyle w:val="null3"/>
            </w:pPr>
            <w:r>
              <w:rPr>
                <w:rFonts w:ascii="仿宋_GB2312" w:hAnsi="仿宋_GB2312" w:cs="仿宋_GB2312" w:eastAsia="仿宋_GB2312"/>
              </w:rPr>
              <w:t>4.降低运维成本：通过专业运维服务，减少系统故障，降低运维成本。</w:t>
            </w:r>
          </w:p>
          <w:p>
            <w:pPr>
              <w:pStyle w:val="null3"/>
            </w:pPr>
            <w:r>
              <w:rPr>
                <w:rFonts w:ascii="仿宋_GB2312" w:hAnsi="仿宋_GB2312" w:cs="仿宋_GB2312" w:eastAsia="仿宋_GB2312"/>
              </w:rPr>
              <w:t>5.提升执法能力：通过技术培训与支持，提升执法人员的技术能力，适应网络行政执法的新要求。</w:t>
            </w:r>
          </w:p>
          <w:p>
            <w:pPr>
              <w:pStyle w:val="null3"/>
            </w:pPr>
            <w:r>
              <w:rPr>
                <w:rFonts w:ascii="仿宋_GB2312" w:hAnsi="仿宋_GB2312" w:cs="仿宋_GB2312" w:eastAsia="仿宋_GB2312"/>
              </w:rPr>
              <w:t>6.提升网络治理效能：通过专业的法律法规咨询、培训，执法案例解析，执法配套服务高效协助陕西省网信办完成中央网信办及上级布置的各项任务，提升整体网络治理效能，增强政府在网络空间治理中的公信力与权威性。</w:t>
            </w:r>
          </w:p>
          <w:p>
            <w:pPr>
              <w:pStyle w:val="null3"/>
            </w:pPr>
            <w:r>
              <w:rPr>
                <w:rFonts w:ascii="仿宋_GB2312" w:hAnsi="仿宋_GB2312" w:cs="仿宋_GB2312" w:eastAsia="仿宋_GB2312"/>
              </w:rPr>
              <w:t>二、服务内容</w:t>
            </w:r>
          </w:p>
          <w:tbl>
            <w:tblPr>
              <w:tblBorders>
                <w:top w:val="none" w:color="000000" w:sz="4"/>
                <w:left w:val="none" w:color="000000" w:sz="4"/>
                <w:bottom w:val="none" w:color="000000" w:sz="4"/>
                <w:right w:val="none" w:color="000000" w:sz="4"/>
                <w:insideH w:val="none"/>
                <w:insideV w:val="none"/>
              </w:tblBorders>
            </w:tblPr>
            <w:tblGrid>
              <w:gridCol w:w="238"/>
              <w:gridCol w:w="645"/>
              <w:gridCol w:w="1670"/>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服务交付清单</w:t>
                  </w:r>
                </w:p>
              </w:tc>
            </w:tr>
            <w:tr>
              <w:tc>
                <w:tcPr>
                  <w:tcW w:type="dxa" w:w="23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color w:val="000000"/>
                    </w:rPr>
                    <w:t>服务内容</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0"/>
                      <w:color w:val="000000"/>
                    </w:rPr>
                    <w:t>快速取证模块</w:t>
                  </w:r>
                </w:p>
              </w:tc>
              <w:tc>
                <w:tcPr>
                  <w:tcW w:type="dxa" w:w="1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color w:val="000000"/>
                    </w:rPr>
                    <w:t>实现一键快速取证，取得</w:t>
                  </w:r>
                  <w:r>
                    <w:rPr>
                      <w:rFonts w:ascii="仿宋_GB2312" w:hAnsi="仿宋_GB2312" w:cs="仿宋_GB2312" w:eastAsia="仿宋_GB2312"/>
                      <w:sz w:val="20"/>
                      <w:color w:val="000000"/>
                    </w:rPr>
                    <w:t>证据内容包括网页截图、访问路由信息、页面内容和代码、底层交互信息</w:t>
                  </w:r>
                  <w:r>
                    <w:rPr>
                      <w:rFonts w:ascii="仿宋_GB2312" w:hAnsi="仿宋_GB2312" w:cs="仿宋_GB2312" w:eastAsia="仿宋_GB2312"/>
                      <w:sz w:val="20"/>
                      <w:color w:val="000000"/>
                    </w:rPr>
                    <w:t>等</w:t>
                  </w:r>
                  <w:r>
                    <w:rPr>
                      <w:rFonts w:ascii="仿宋_GB2312" w:hAnsi="仿宋_GB2312" w:cs="仿宋_GB2312" w:eastAsia="仿宋_GB2312"/>
                      <w:sz w:val="20"/>
                      <w:color w:val="000000"/>
                    </w:rPr>
                    <w:t>。</w:t>
                  </w:r>
                </w:p>
              </w:tc>
            </w:tr>
            <w:tr>
              <w:tc>
                <w:tcPr>
                  <w:tcW w:type="dxa" w:w="238"/>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0"/>
                      <w:color w:val="000000"/>
                    </w:rPr>
                    <w:t>定向取证模块</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color w:val="000000"/>
                    </w:rPr>
                    <w:t>可选择填写网页</w:t>
                  </w:r>
                  <w:r>
                    <w:rPr>
                      <w:rFonts w:ascii="仿宋_GB2312" w:hAnsi="仿宋_GB2312" w:cs="仿宋_GB2312" w:eastAsia="仿宋_GB2312"/>
                      <w:sz w:val="20"/>
                      <w:color w:val="000000"/>
                    </w:rPr>
                    <w:t>URL或上传任务方式对批量的URL进行后台自动取证。</w:t>
                  </w:r>
                </w:p>
              </w:tc>
            </w:tr>
            <w:tr>
              <w:tc>
                <w:tcPr>
                  <w:tcW w:type="dxa" w:w="238"/>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0"/>
                      <w:color w:val="000000"/>
                    </w:rPr>
                    <w:t>专项取证模块</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color w:val="000000"/>
                    </w:rPr>
                    <w:t>可创建专项任务，进行批量取证和</w:t>
                  </w:r>
                  <w:r>
                    <w:rPr>
                      <w:rFonts w:ascii="仿宋_GB2312" w:hAnsi="仿宋_GB2312" w:cs="仿宋_GB2312" w:eastAsia="仿宋_GB2312"/>
                      <w:sz w:val="20"/>
                      <w:color w:val="000000"/>
                    </w:rPr>
                    <w:t>归档管理。</w:t>
                  </w:r>
                </w:p>
              </w:tc>
            </w:tr>
            <w:tr>
              <w:tc>
                <w:tcPr>
                  <w:tcW w:type="dxa" w:w="238"/>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0"/>
                      <w:color w:val="000000"/>
                    </w:rPr>
                    <w:t>App取证模块</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color w:val="000000"/>
                    </w:rPr>
                    <w:t>APP</w:t>
                  </w:r>
                  <w:r>
                    <w:rPr>
                      <w:rFonts w:ascii="仿宋_GB2312" w:hAnsi="仿宋_GB2312" w:cs="仿宋_GB2312" w:eastAsia="仿宋_GB2312"/>
                      <w:sz w:val="20"/>
                      <w:color w:val="000000"/>
                    </w:rPr>
                    <w:t>取证功能是取证浏览器基于移动网页模式访问指定</w:t>
                  </w:r>
                  <w:r>
                    <w:rPr>
                      <w:rFonts w:ascii="仿宋_GB2312" w:hAnsi="仿宋_GB2312" w:cs="仿宋_GB2312" w:eastAsia="仿宋_GB2312"/>
                      <w:sz w:val="20"/>
                      <w:color w:val="000000"/>
                    </w:rPr>
                    <w:t>APP的H5页面，实现对移动端网页的取证。</w:t>
                  </w:r>
                </w:p>
              </w:tc>
            </w:tr>
            <w:tr>
              <w:tc>
                <w:tcPr>
                  <w:tcW w:type="dxa" w:w="238"/>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0"/>
                      <w:color w:val="000000"/>
                    </w:rPr>
                    <w:t>录屏取证模块</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color w:val="000000"/>
                    </w:rPr>
                    <w:t>可对计算机屏幕所显示内容进行录屏取证，可用于视频（含短视频）、软件系统、数据库、代码等进行取证。</w:t>
                  </w:r>
                </w:p>
              </w:tc>
            </w:tr>
            <w:tr>
              <w:tc>
                <w:tcPr>
                  <w:tcW w:type="dxa" w:w="238"/>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0"/>
                      <w:color w:val="000000"/>
                    </w:rPr>
                    <w:t>证据管理模块</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color w:val="000000"/>
                    </w:rPr>
                    <w:t>对已取证的证据进行可视化查看及管理。</w:t>
                  </w:r>
                  <w:r>
                    <w:rPr>
                      <w:rFonts w:ascii="仿宋_GB2312" w:hAnsi="仿宋_GB2312" w:cs="仿宋_GB2312" w:eastAsia="仿宋_GB2312"/>
                      <w:sz w:val="20"/>
                      <w:color w:val="000000"/>
                    </w:rPr>
                    <w:t>包括证据管理、打标等功能</w:t>
                  </w:r>
                </w:p>
              </w:tc>
            </w:tr>
            <w:tr>
              <w:tc>
                <w:tcPr>
                  <w:tcW w:type="dxa" w:w="238"/>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0"/>
                      <w:color w:val="000000"/>
                    </w:rPr>
                    <w:t>证据</w:t>
                  </w:r>
                  <w:r>
                    <w:rPr>
                      <w:rFonts w:ascii="仿宋_GB2312" w:hAnsi="仿宋_GB2312" w:cs="仿宋_GB2312" w:eastAsia="仿宋_GB2312"/>
                      <w:sz w:val="20"/>
                      <w:color w:val="000000"/>
                    </w:rPr>
                    <w:t>验证</w:t>
                  </w:r>
                  <w:r>
                    <w:rPr>
                      <w:rFonts w:ascii="仿宋_GB2312" w:hAnsi="仿宋_GB2312" w:cs="仿宋_GB2312" w:eastAsia="仿宋_GB2312"/>
                      <w:sz w:val="20"/>
                      <w:color w:val="000000"/>
                    </w:rPr>
                    <w:t>模块</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color w:val="000000"/>
                    </w:rPr>
                    <w:t>提供权威第三方证据校验功能，</w:t>
                  </w:r>
                  <w:r>
                    <w:rPr>
                      <w:rFonts w:ascii="仿宋_GB2312" w:hAnsi="仿宋_GB2312" w:cs="仿宋_GB2312" w:eastAsia="仿宋_GB2312"/>
                      <w:sz w:val="20"/>
                      <w:color w:val="000000"/>
                    </w:rPr>
                    <w:t>能够验证电子证据是否篡改</w:t>
                  </w:r>
                  <w:r>
                    <w:rPr>
                      <w:rFonts w:ascii="仿宋_GB2312" w:hAnsi="仿宋_GB2312" w:cs="仿宋_GB2312" w:eastAsia="仿宋_GB2312"/>
                      <w:sz w:val="20"/>
                      <w:color w:val="000000"/>
                    </w:rPr>
                    <w:t>。</w:t>
                  </w:r>
                </w:p>
              </w:tc>
            </w:tr>
            <w:tr>
              <w:tc>
                <w:tcPr>
                  <w:tcW w:type="dxa" w:w="238"/>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0"/>
                      <w:color w:val="000000"/>
                    </w:rPr>
                    <w:t>执法依据匹配服务</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color w:val="000000"/>
                    </w:rPr>
                    <w:t>提供法律法规咨询、培训，执法案例解析，执法配套服务</w:t>
                  </w:r>
                </w:p>
              </w:tc>
            </w:tr>
            <w:tr>
              <w:tc>
                <w:tcPr>
                  <w:tcW w:type="dxa" w:w="238"/>
                  <w:vMerge/>
                  <w:tcBorders>
                    <w:top w:val="none" w:color="000000" w:sz="4"/>
                    <w:left w:val="singl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0"/>
                      <w:color w:val="000000"/>
                    </w:rPr>
                    <w:t>技术支持服务</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color w:val="000000"/>
                    </w:rPr>
                    <w:t>协助完成中央网信办</w:t>
                  </w:r>
                  <w:r>
                    <w:rPr>
                      <w:rFonts w:ascii="仿宋_GB2312" w:hAnsi="仿宋_GB2312" w:cs="仿宋_GB2312" w:eastAsia="仿宋_GB2312"/>
                      <w:sz w:val="20"/>
                      <w:color w:val="000000"/>
                    </w:rPr>
                    <w:t>等</w:t>
                  </w:r>
                  <w:r>
                    <w:rPr>
                      <w:rFonts w:ascii="仿宋_GB2312" w:hAnsi="仿宋_GB2312" w:cs="仿宋_GB2312" w:eastAsia="仿宋_GB2312"/>
                      <w:sz w:val="20"/>
                      <w:color w:val="000000"/>
                    </w:rPr>
                    <w:t>上级部门布置任务的技术支持服务</w:t>
                  </w:r>
                </w:p>
              </w:tc>
            </w:tr>
          </w:tbl>
          <w:p>
            <w:pPr>
              <w:pStyle w:val="null3"/>
              <w:spacing w:before="105" w:after="105"/>
              <w:jc w:val="left"/>
            </w:pPr>
            <w:r>
              <w:rPr>
                <w:rFonts w:ascii="仿宋_GB2312" w:hAnsi="仿宋_GB2312" w:cs="仿宋_GB2312" w:eastAsia="仿宋_GB2312"/>
              </w:rPr>
              <w:t>三、其他要求</w:t>
            </w:r>
          </w:p>
          <w:p>
            <w:pPr>
              <w:pStyle w:val="null3"/>
            </w:pPr>
            <w:r>
              <w:rPr>
                <w:rFonts w:ascii="仿宋_GB2312" w:hAnsi="仿宋_GB2312" w:cs="仿宋_GB2312" w:eastAsia="仿宋_GB2312"/>
              </w:rPr>
              <w:t>1.通过优化资源配置，为单个案件取证成本小于1.2万奠定基础，降低人工重复取证成本。</w:t>
            </w:r>
          </w:p>
          <w:p>
            <w:pPr>
              <w:pStyle w:val="null3"/>
            </w:pPr>
            <w:r>
              <w:rPr>
                <w:rFonts w:ascii="仿宋_GB2312" w:hAnsi="仿宋_GB2312" w:cs="仿宋_GB2312" w:eastAsia="仿宋_GB2312"/>
              </w:rPr>
              <w:t>2.响应各地市网信办取证需求，加大取证工作力度，确保全年取证案件量达到60件以上目标。</w:t>
            </w:r>
          </w:p>
          <w:p>
            <w:pPr>
              <w:pStyle w:val="null3"/>
            </w:pPr>
            <w:r>
              <w:rPr>
                <w:rFonts w:ascii="仿宋_GB2312" w:hAnsi="仿宋_GB2312" w:cs="仿宋_GB2312" w:eastAsia="仿宋_GB2312"/>
              </w:rPr>
              <w:t>3.遵循相关法律法规和规范流程进行取证操作，确保案件取证证据规范有效率达到95%以上。</w:t>
            </w:r>
          </w:p>
          <w:p>
            <w:pPr>
              <w:pStyle w:val="null3"/>
            </w:pPr>
            <w:r>
              <w:rPr>
                <w:rFonts w:ascii="仿宋_GB2312" w:hAnsi="仿宋_GB2312" w:cs="仿宋_GB2312" w:eastAsia="仿宋_GB2312"/>
              </w:rPr>
              <w:t>4.保障电子取证服务及技术支持服务能够及时响应，实现7*24小时不间断服务的时效目标。</w:t>
            </w:r>
          </w:p>
          <w:p>
            <w:pPr>
              <w:pStyle w:val="null3"/>
            </w:pPr>
            <w:r>
              <w:rPr>
                <w:rFonts w:ascii="仿宋_GB2312" w:hAnsi="仿宋_GB2312" w:cs="仿宋_GB2312" w:eastAsia="仿宋_GB2312"/>
              </w:rPr>
              <w:t>5.建立快速响应机制，接到取证需求，确保不超过1小时完成取证工作。</w:t>
            </w:r>
            <w:r>
              <w:rPr>
                <w:rFonts w:ascii="仿宋_GB2312" w:hAnsi="仿宋_GB2312" w:cs="仿宋_GB2312" w:eastAsia="仿宋_GB2312"/>
              </w:rPr>
              <w:t>通过取证流程，减少人工操作和重复劳动，降低人工重复取证成本财政支出，节约比例达到90%以上。</w:t>
            </w:r>
          </w:p>
          <w:p>
            <w:pPr>
              <w:pStyle w:val="null3"/>
            </w:pPr>
            <w:r>
              <w:rPr>
                <w:rFonts w:ascii="仿宋_GB2312" w:hAnsi="仿宋_GB2312" w:cs="仿宋_GB2312" w:eastAsia="仿宋_GB2312"/>
              </w:rPr>
              <w:t>6.通过平台规范化取证流程和高质量的证据管理，推动依法管网治网执法取证规范化程度达到90%以上。</w:t>
            </w:r>
          </w:p>
          <w:p>
            <w:pPr>
              <w:pStyle w:val="null3"/>
            </w:pPr>
            <w:r>
              <w:rPr>
                <w:rFonts w:ascii="仿宋_GB2312" w:hAnsi="仿宋_GB2312" w:cs="仿宋_GB2312" w:eastAsia="仿宋_GB2312"/>
              </w:rPr>
              <w:t>7.全面推行电子化取证，减少纸质文档的使用，降低碳排放，减少比例达到90%以上。</w:t>
            </w:r>
          </w:p>
          <w:p>
            <w:pPr>
              <w:pStyle w:val="null3"/>
            </w:pPr>
            <w:r>
              <w:rPr>
                <w:rFonts w:ascii="仿宋_GB2312" w:hAnsi="仿宋_GB2312" w:cs="仿宋_GB2312" w:eastAsia="仿宋_GB2312"/>
              </w:rPr>
              <w:t>8.通过有效的取证和执法，打击网络违法行为，维护网络秩序，促进网络健康发展较去年增长10%以上。</w:t>
            </w:r>
          </w:p>
          <w:p>
            <w:pPr>
              <w:pStyle w:val="null3"/>
            </w:pPr>
            <w:r>
              <w:rPr>
                <w:rFonts w:ascii="仿宋_GB2312" w:hAnsi="仿宋_GB2312" w:cs="仿宋_GB2312" w:eastAsia="仿宋_GB2312"/>
              </w:rPr>
              <w:t>9.广泛收集用户对取证服务的意见和建议，对服务内容和方式进行调整和优化，进一步提高服务质量和用户满意度，确保取证服务使用满意度达到90%以上。</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供应商根据采购需求自行配备。</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供应商根据采购需求自行配备。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按项目合同执行。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如发生争议由双方协商解决，协商不成向采购方所在人民法院提请诉讼。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本合同服务期满并达到甲方认可，后续服务不再招采，继续续签本采购合同。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 单位法人证书等国家规定的相关证明，自然人参与的提供其身份证明。 2.供应商须提供2025 年1月至今已缴纳的至少一个月的纳税证明或完税证明（以税款所属日期为准），依法免税的单位应提供相关证明材料。 3.供应商须提供2025年1月至今已缴纳的至少一个月的社会保障资金缴存凭证或社保机构开具的社会保险参保证明，依法不需要缴纳社会保障资金的单位应提供相关证明材料。 4.供应商须提供具有履行合同所必需的设备和专业技术能力的承诺。 5.供应商须提供参加政府采购活动前3年内，在经营活动中没有重大违法记录的书面声明。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供应商须提供经财务审计资质单位出具的赋码的2024年度或2025年度财务报告（成立时间 至投标文件递交截止时间不足一年的可提供成立后任意时段的资产负债表）或投标文件递交 截止时间前六个月内其基本账户开户银行出具的资信证明。</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法定代表人授权委托书（附法定代表人身份证复印件及被授权人身份证复印件）；法定代表人直接参加投标只须提供法定代表人资格证明书（附法定代表人身份证复印件）。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其他应说明的事项.docx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其他应说明的事项.docx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响应文件的签字、盖章符合采购文件要求。</w:t>
            </w:r>
          </w:p>
        </w:tc>
        <w:tc>
          <w:tcPr>
            <w:tcW w:type="dxa" w:w="1661"/>
          </w:tcPr>
          <w:p>
            <w:pPr>
              <w:pStyle w:val="null3"/>
            </w:pPr>
            <w:r>
              <w:rPr>
                <w:rFonts w:ascii="仿宋_GB2312" w:hAnsi="仿宋_GB2312" w:cs="仿宋_GB2312" w:eastAsia="仿宋_GB2312"/>
              </w:rPr>
              <w:t>响应文件封面 中小企业声明函 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采购项目技术、服务、商务及其他要求</w:t>
            </w:r>
          </w:p>
        </w:tc>
        <w:tc>
          <w:tcPr>
            <w:tcW w:type="dxa" w:w="3322"/>
          </w:tcPr>
          <w:p>
            <w:pPr>
              <w:pStyle w:val="null3"/>
            </w:pPr>
            <w:r>
              <w:rPr>
                <w:rFonts w:ascii="仿宋_GB2312" w:hAnsi="仿宋_GB2312" w:cs="仿宋_GB2312" w:eastAsia="仿宋_GB2312"/>
              </w:rPr>
              <w:t>符合采购文件要求，不得含有采购人不能接受的附加条款。</w:t>
            </w:r>
          </w:p>
        </w:tc>
        <w:tc>
          <w:tcPr>
            <w:tcW w:type="dxa" w:w="1661"/>
          </w:tcPr>
          <w:p>
            <w:pPr>
              <w:pStyle w:val="null3"/>
            </w:pPr>
            <w:r>
              <w:rPr>
                <w:rFonts w:ascii="仿宋_GB2312" w:hAnsi="仿宋_GB2312" w:cs="仿宋_GB2312" w:eastAsia="仿宋_GB2312"/>
              </w:rPr>
              <w:t>采购项目技术、服务、商务及其他要求偏离表.docx 其他应说明的事项.docx 供应商承诺书.docx 服务方案.docx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详见附件：采购项目技术、服务、商务及其他要求偏离表.docx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