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版本号：SXYS-2026-002.1B220260401002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高质量示范项目-延安市临床药学服务标准化建设与高质量发展项目(三次)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SXYS-2026-002.1B2</w:t>
      </w:r>
      <w:r>
        <w:br/>
      </w:r>
      <w:r>
        <w:br/>
      </w:r>
      <w:r>
        <w:br/>
      </w:r>
    </w:p>
    <w:p>
      <w:pPr>
        <w:pStyle w:val="null3"/>
        <w:jc w:val="center"/>
        <w:outlineLvl w:val="2"/>
      </w:pPr>
      <w:r>
        <w:rPr>
          <w:rFonts w:ascii="仿宋_GB2312" w:hAnsi="仿宋_GB2312" w:cs="仿宋_GB2312" w:eastAsia="仿宋_GB2312"/>
          <w:sz w:val="28"/>
          <w:b/>
        </w:rPr>
        <w:t>延安大学附属医院</w:t>
      </w:r>
    </w:p>
    <w:p>
      <w:pPr>
        <w:pStyle w:val="null3"/>
        <w:jc w:val="center"/>
        <w:outlineLvl w:val="2"/>
      </w:pPr>
      <w:r>
        <w:rPr>
          <w:rFonts w:ascii="仿宋_GB2312" w:hAnsi="仿宋_GB2312" w:cs="仿宋_GB2312" w:eastAsia="仿宋_GB2312"/>
          <w:sz w:val="28"/>
          <w:b/>
        </w:rPr>
        <w:t>陕西延审工程项目管理有限公司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陕西延审工程项目管理有限公司</w:t>
      </w:r>
      <w:r>
        <w:rPr>
          <w:rFonts w:ascii="仿宋_GB2312" w:hAnsi="仿宋_GB2312" w:cs="仿宋_GB2312" w:eastAsia="仿宋_GB2312"/>
        </w:rPr>
        <w:t>（以下简称“代理机构”）受</w:t>
      </w:r>
      <w:r>
        <w:rPr>
          <w:rFonts w:ascii="仿宋_GB2312" w:hAnsi="仿宋_GB2312" w:cs="仿宋_GB2312" w:eastAsia="仿宋_GB2312"/>
        </w:rPr>
        <w:t>延安大学附属医院</w:t>
      </w:r>
      <w:r>
        <w:rPr>
          <w:rFonts w:ascii="仿宋_GB2312" w:hAnsi="仿宋_GB2312" w:cs="仿宋_GB2312" w:eastAsia="仿宋_GB2312"/>
        </w:rPr>
        <w:t>委托，拟对</w:t>
      </w:r>
      <w:r>
        <w:rPr>
          <w:rFonts w:ascii="仿宋_GB2312" w:hAnsi="仿宋_GB2312" w:cs="仿宋_GB2312" w:eastAsia="仿宋_GB2312"/>
        </w:rPr>
        <w:t>高质量示范项目-延安市临床药学服务标准化建设与高质量发展项目(三次)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SXYS-2026-002.1B2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高质量示范项目-延安市临床药学服务标准化建设与高质量发展项目(三次)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建设内容包括药学咨询管理系统（门诊药学监护）、住院药学监护系统、15个平板、临床药师智慧化工作站AI服务器等。以患者为中心、临床药学服务为主线，构建集成化、智能化的综合管理平台。系统全面覆盖患者药物管理（处方、记录、不良反应追踪）、临床药学服务（咨询、重整、监护）、质量控制与评估体系，通过智能提醒、预警机制及药物治疗方案库保障用药安全与合理性；同时优化服务流程实现全程追溯，搭建知识共享平台促进学科交流，依托数据分析与药学知识库（集成药品信息、相互作用等实时更新内容）为临床决策提供智能支持，并全程监测疗效与不良反应，最终形成覆盖诊前-诊中-诊后的全流程药学服务体系，提升用药安全性和治疗依从性，在AI算力服务器的支持下，利用大数据、人工智能等技术手段，优化药学服务流程和管理模式，助力医疗机构实现合理用药指标优化与药学服务数字化转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1、营业执照：具有独立承担民事责任能力的法人或其他组织，提供合法有效的统一社会信用代码的营业执照或事业单位法人证书等国家规定的相关证明，自然人参与的提供其身份证明；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2、银行开户：银行开户许可证或开户行基本信息</w:t>
      </w:r>
    </w:p>
    <w:p>
      <w:pPr>
        <w:pStyle w:val="null3"/>
      </w:pPr>
      <w:r>
        <w:rPr>
          <w:rFonts w:ascii="仿宋_GB2312" w:hAnsi="仿宋_GB2312" w:cs="仿宋_GB2312" w:eastAsia="仿宋_GB2312"/>
        </w:rPr>
        <w:t>3、法定代表人授权书：法定代表人授权书（附法定代表人身份证复印件）及被授权人身份证（法定代表人直接参加须提供法定代表人身份证明及法定代表人身份证复印件）；</w:t>
      </w:r>
    </w:p>
    <w:p>
      <w:pPr>
        <w:pStyle w:val="null3"/>
      </w:pPr>
      <w:r>
        <w:rPr>
          <w:rFonts w:ascii="仿宋_GB2312" w:hAnsi="仿宋_GB2312" w:cs="仿宋_GB2312" w:eastAsia="仿宋_GB2312"/>
        </w:rPr>
        <w:t>4、财务状况证明：提供2024年度经审计完整的财务审计报告（成立时间至提交响应文件截止时间不足一年的可提供成立后任意时段的资产负债表）或三个月内其基本存款账户开户银行出具的资信证明；</w:t>
      </w:r>
    </w:p>
    <w:p>
      <w:pPr>
        <w:pStyle w:val="null3"/>
      </w:pPr>
      <w:r>
        <w:rPr>
          <w:rFonts w:ascii="仿宋_GB2312" w:hAnsi="仿宋_GB2312" w:cs="仿宋_GB2312" w:eastAsia="仿宋_GB2312"/>
        </w:rPr>
        <w:t>5、税收缴纳证明：提供截止磋商时间近一年内任意一个月已缴纳的纳税证明或完税证明，依法免税的供应商应提供相关文件证明；</w:t>
      </w:r>
    </w:p>
    <w:p>
      <w:pPr>
        <w:pStyle w:val="null3"/>
      </w:pPr>
      <w:r>
        <w:rPr>
          <w:rFonts w:ascii="仿宋_GB2312" w:hAnsi="仿宋_GB2312" w:cs="仿宋_GB2312" w:eastAsia="仿宋_GB2312"/>
        </w:rPr>
        <w:t>6、社会保障资金缴纳证明：提供截止磋商时间近一年内任意一个月的社会保障资金缴存证明或社保机构开具的社会保险参保缴费情况证明；依法不需要缴纳社会保障资金的应提供相关文件证明；</w:t>
      </w:r>
    </w:p>
    <w:p>
      <w:pPr>
        <w:pStyle w:val="null3"/>
      </w:pPr>
      <w:r>
        <w:rPr>
          <w:rFonts w:ascii="仿宋_GB2312" w:hAnsi="仿宋_GB2312" w:cs="仿宋_GB2312" w:eastAsia="仿宋_GB2312"/>
        </w:rPr>
        <w:t>7、书面声明：具有履行合同所必需的设备和专业技术能力的书面声明；</w:t>
      </w:r>
    </w:p>
    <w:p>
      <w:pPr>
        <w:pStyle w:val="null3"/>
      </w:pPr>
      <w:r>
        <w:rPr>
          <w:rFonts w:ascii="仿宋_GB2312" w:hAnsi="仿宋_GB2312" w:cs="仿宋_GB2312" w:eastAsia="仿宋_GB2312"/>
        </w:rPr>
        <w:t>8、信用信誉：供应商未被列入“信用中国”网站中重大税收违法失信主体名单、“中国执行信息公开网”网站失信被执行人、中国政府采购网政府采购严重违法失信行为记录名单中被财政部门禁止参加政府采购活动的供应商；参加政府采购活动近三年内，在经营活动中没有重大违法记录声明函；</w:t>
      </w:r>
    </w:p>
    <w:p>
      <w:pPr>
        <w:pStyle w:val="null3"/>
      </w:pPr>
      <w:r>
        <w:rPr>
          <w:rFonts w:ascii="仿宋_GB2312" w:hAnsi="仿宋_GB2312" w:cs="仿宋_GB2312" w:eastAsia="仿宋_GB2312"/>
        </w:rPr>
        <w:t>9、联合体：本项目不接受联合体磋商；</w:t>
      </w:r>
    </w:p>
    <w:p>
      <w:pPr>
        <w:pStyle w:val="null3"/>
      </w:pPr>
      <w:r>
        <w:rPr>
          <w:rFonts w:ascii="仿宋_GB2312" w:hAnsi="仿宋_GB2312" w:cs="仿宋_GB2312" w:eastAsia="仿宋_GB2312"/>
        </w:rPr>
        <w:t>10、控股管理关系：单位负责人为同一人或者存在直接控股、管理关系的不同供应商，不得参加本次采购活动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延安大学附属医院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陕西省延安市宝塔区北大街43号延安大学附属医院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0911-2881326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陕西延审工程项目管理有限公司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陕西省西安市未央区陕西省西安市未央区太华北路安徽大厦15层01室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郝小艳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19929659892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开户名称：陕西延审工程项目管理有限公司</w:t>
            </w:r>
          </w:p>
          <w:p>
            <w:pPr>
              <w:pStyle w:val="null3"/>
            </w:pPr>
            <w:r>
              <w:rPr>
                <w:rFonts w:ascii="仿宋_GB2312" w:hAnsi="仿宋_GB2312" w:cs="仿宋_GB2312" w:eastAsia="仿宋_GB2312"/>
              </w:rPr>
              <w:t>开户银行：招商银行股份有限公司西安城北支行</w:t>
            </w:r>
          </w:p>
          <w:p>
            <w:pPr>
              <w:pStyle w:val="null3"/>
            </w:pPr>
            <w:r>
              <w:rPr>
                <w:rFonts w:ascii="仿宋_GB2312" w:hAnsi="仿宋_GB2312" w:cs="仿宋_GB2312" w:eastAsia="仿宋_GB2312"/>
              </w:rPr>
              <w:t>银行账号：129916845510008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代理服务费收费标准：1、本项目采购代理服务费按《招标代理服务收费管理暂行办法》（计价格〔2002〕1980号）标准计取，由成交供应商在领取成交通知书时向采购代理机构一次性付清。 2、采购代理服务费账户信息 3、名称：陕西延审工程项目管理有限公司 4、纳税人识别号：91610600675138577D 5、地址电话：陕西省西安市未央区太华北路安徽大厦15层01室029-86616270 6、开户行及账号：中国工商银行股份有限公司西安太华路支行3700023919200266054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延安大学附属医院</w:t>
      </w:r>
      <w:r>
        <w:rPr>
          <w:rFonts w:ascii="仿宋_GB2312" w:hAnsi="仿宋_GB2312" w:cs="仿宋_GB2312" w:eastAsia="仿宋_GB2312"/>
        </w:rPr>
        <w:t>和</w:t>
      </w:r>
      <w:r>
        <w:rPr>
          <w:rFonts w:ascii="仿宋_GB2312" w:hAnsi="仿宋_GB2312" w:cs="仿宋_GB2312" w:eastAsia="仿宋_GB2312"/>
        </w:rPr>
        <w:t>陕西延审工程项目管理有限公司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延安大学附属医院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陕西延审工程项目管理有限公司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延安大学附属医院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陕西延审工程项目管理有限公司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达到国家或行业现行合格标准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陕西延审工程项目管理有限公司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陕西延审工程项目管理有限公司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陕西延审工程项目管理有限公司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 郝小艳</w:t>
      </w:r>
    </w:p>
    <w:p>
      <w:pPr>
        <w:pStyle w:val="null3"/>
      </w:pPr>
      <w:r>
        <w:rPr>
          <w:rFonts w:ascii="仿宋_GB2312" w:hAnsi="仿宋_GB2312" w:cs="仿宋_GB2312" w:eastAsia="仿宋_GB2312"/>
        </w:rPr>
        <w:t>联系电话：19929659892</w:t>
      </w:r>
    </w:p>
    <w:p>
      <w:pPr>
        <w:pStyle w:val="null3"/>
      </w:pPr>
      <w:r>
        <w:rPr>
          <w:rFonts w:ascii="仿宋_GB2312" w:hAnsi="仿宋_GB2312" w:cs="仿宋_GB2312" w:eastAsia="仿宋_GB2312"/>
        </w:rPr>
        <w:t>地址：延安市新区嘉宁万兴花园写字楼21层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建设内容包括药学咨询管理系统（门诊药学监护）、住院药学监护系统、15个平板、临床药师智慧化工作站AI服务器等。以患者为中心、临床药学服务为主线，构建集成化、智能化的综合管理平台。系统全面覆盖患者药物管理（处方、记录、不良反应追踪）、临床药学服务（咨询、重整、监护）、质量控制与评估体系，通过智能提醒、预警机制及药物治疗方案库保障用药安全与合理性；同时优化服务流程实现全程追溯，搭建知识共享平台促进学科交流，依托数据分析与药学知识库（集成药品信息、相互作用等实时更新内容）为临床决策提供智能支持，并全程监测疗效与不良反应，最终形成覆盖诊前-诊中-诊后的全流程药学服务体系，提升用药安全性和治疗依从性，在AI算力服务器的支持下，利用大数据、人工智能等技术手段，优化药学服务流程和管理模式，助力医疗机构实现合理用药指标优化与药学服务数字化转型。</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870,000.00</w:t>
      </w:r>
    </w:p>
    <w:p>
      <w:pPr>
        <w:pStyle w:val="null3"/>
      </w:pPr>
      <w:r>
        <w:rPr>
          <w:rFonts w:ascii="仿宋_GB2312" w:hAnsi="仿宋_GB2312" w:cs="仿宋_GB2312" w:eastAsia="仿宋_GB2312"/>
        </w:rPr>
        <w:t>采购包最高限价（元）: 870,000.00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临床药学服务标准化建设与高质量发展项目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870,000.00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标的名称：临床药学服务标准化建设与高质量发展项目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30"/>
                <w:b/>
              </w:rPr>
              <w:t xml:space="preserve"> </w:t>
            </w:r>
            <w:r>
              <w:rPr>
                <w:rFonts w:ascii="仿宋_GB2312" w:hAnsi="仿宋_GB2312" w:cs="仿宋_GB2312" w:eastAsia="仿宋_GB2312"/>
                <w:sz w:val="30"/>
                <w:b/>
              </w:rPr>
              <w:t>1、建设内</w:t>
            </w:r>
            <w:r>
              <w:rPr>
                <w:rFonts w:ascii="仿宋_GB2312" w:hAnsi="仿宋_GB2312" w:cs="仿宋_GB2312" w:eastAsia="仿宋_GB2312"/>
                <w:sz w:val="30"/>
                <w:b/>
              </w:rPr>
              <w:t>容</w:t>
            </w:r>
          </w:p>
          <w:p>
            <w:pPr>
              <w:pStyle w:val="null3"/>
            </w:pPr>
            <w:r>
              <w:rPr>
                <w:rFonts w:ascii="仿宋_GB2312" w:hAnsi="仿宋_GB2312" w:cs="仿宋_GB2312" w:eastAsia="仿宋_GB2312"/>
                <w:sz w:val="28"/>
                <w:b/>
              </w:rPr>
              <w:t>1.1临床药师智慧化工作站</w:t>
            </w:r>
            <w:r>
              <w:rPr>
                <w:rFonts w:ascii="仿宋_GB2312" w:hAnsi="仿宋_GB2312" w:cs="仿宋_GB2312" w:eastAsia="仿宋_GB2312"/>
              </w:rPr>
              <w:t xml:space="preserve"> </w:t>
            </w:r>
          </w:p>
          <w:tbl>
            <w:tblPr>
              <w:tblInd w:type="dxa" w:w="90"/>
              <w:tblBorders>
                <w:top w:val="none" w:color="000000" w:sz="4"/>
                <w:left w:val="none" w:color="000000" w:sz="4"/>
                <w:bottom w:val="none" w:color="000000" w:sz="4"/>
                <w:right w:val="none" w:color="000000" w:sz="4"/>
                <w:insideH w:val="none"/>
                <w:insideV w:val="none"/>
              </w:tblBorders>
            </w:tblPr>
            <w:tblGrid>
              <w:gridCol w:w="187"/>
              <w:gridCol w:w="187"/>
              <w:gridCol w:w="407"/>
              <w:gridCol w:w="1771"/>
            </w:tblGrid>
            <w:tr>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一级模块</w:t>
                  </w:r>
                </w:p>
              </w:tc>
              <w:tc>
                <w:tcPr>
                  <w:tcW w:type="dxa" w:w="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二级模块</w:t>
                  </w:r>
                </w:p>
              </w:tc>
              <w:tc>
                <w:tcPr>
                  <w:tcW w:type="dxa" w:w="1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功能描述</w:t>
                  </w:r>
                </w:p>
              </w:tc>
            </w:tr>
            <w:tr>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临床药师智慧化工作站</w:t>
                  </w:r>
                </w:p>
              </w:tc>
              <w:tc>
                <w:tcPr>
                  <w:tcW w:type="dxa" w:w="1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总体架构要求</w:t>
                  </w: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技术架构要求</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w:t>
                  </w:r>
                  <w:r>
                    <w:rPr>
                      <w:rFonts w:ascii="仿宋_GB2312" w:hAnsi="仿宋_GB2312" w:cs="仿宋_GB2312" w:eastAsia="仿宋_GB2312"/>
                      <w:sz w:val="20"/>
                      <w:color w:val="000000"/>
                    </w:rPr>
                    <w:t>SOA分析与设计方法，组件化、平台化与集成模式，充分考虑系统的开放性、可扩展性、稳定性及安全性。系统业务逻辑清晰、记录行为日志与数据日志、水印技术、加密技术</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要求采用至少三层（数据层、逻辑层、展现层）的应用架构。面向服务（</w:t>
                  </w:r>
                  <w:r>
                    <w:rPr>
                      <w:rFonts w:ascii="仿宋_GB2312" w:hAnsi="仿宋_GB2312" w:cs="仿宋_GB2312" w:eastAsia="仿宋_GB2312"/>
                      <w:sz w:val="20"/>
                      <w:color w:val="000000"/>
                    </w:rPr>
                    <w:t>SOA）架构模型，可视化的、分层结构、模块化、报表定制、面向对象的开发工具、具有事件/消息响应机制。用户可以根据需要按角色组合和配置组件、工作流管理配置化功能、应用服务实现主备切换、负载均衡。</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数据库要求</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后台数据库为阿里龙蜥、</w:t>
                  </w:r>
                  <w:r>
                    <w:rPr>
                      <w:rFonts w:ascii="仿宋_GB2312" w:hAnsi="仿宋_GB2312" w:cs="仿宋_GB2312" w:eastAsia="仿宋_GB2312"/>
                      <w:sz w:val="20"/>
                      <w:color w:val="000000"/>
                    </w:rPr>
                    <w:t>MySQL、Oracle等主流数据库类型。</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系统安全性要求</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用系统须具有良好的安全机制完成用户的认证、授权和数据保密。数据库登录用户权限、有完善备份功能、有完备的恢复功能、提供数据修改全程监控、提供错误日志、提供系统运行日志。提供包括单点登录等在内的安全保障措施。</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系统易用性要求</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实现系统上线时可区分科室启用上线功能。</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权限管理及系统控制要求</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实现全局性系统运行管理。包括用户及权限管理，参数设置、安全机制，数据对接与接口管理、数据库及文件</w:t>
                  </w:r>
                  <w:r>
                    <w:rPr>
                      <w:rFonts w:ascii="仿宋_GB2312" w:hAnsi="仿宋_GB2312" w:cs="仿宋_GB2312" w:eastAsia="仿宋_GB2312"/>
                      <w:sz w:val="20"/>
                      <w:color w:val="000000"/>
                    </w:rPr>
                    <w:t>IP地址管理等。</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系统内部用户注册及登录对接院内现有单点登录系统，实现统一管理，能够同步用户信息，提供用户及权限管理。</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与业务系统的数据集成采用成熟的</w:t>
                  </w:r>
                  <w:r>
                    <w:rPr>
                      <w:rFonts w:ascii="仿宋_GB2312" w:hAnsi="仿宋_GB2312" w:cs="仿宋_GB2312" w:eastAsia="仿宋_GB2312"/>
                      <w:sz w:val="20"/>
                      <w:color w:val="000000"/>
                    </w:rPr>
                    <w:t>ETL平台技术，采集的控制参数可灵活设置。</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接口管理要求</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临床药师智慧化工作站系统与其它系统（</w:t>
                  </w:r>
                  <w:r>
                    <w:rPr>
                      <w:rFonts w:ascii="仿宋_GB2312" w:hAnsi="仿宋_GB2312" w:cs="仿宋_GB2312" w:eastAsia="仿宋_GB2312"/>
                      <w:sz w:val="20"/>
                      <w:color w:val="000000"/>
                    </w:rPr>
                    <w:t>HIS、LIS、EMR等）数据集成，进行后台自动采集，无需人工干预，自带数据采集监控功能。</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与现有</w:t>
                  </w:r>
                  <w:r>
                    <w:rPr>
                      <w:rFonts w:ascii="仿宋_GB2312" w:hAnsi="仿宋_GB2312" w:cs="仿宋_GB2312" w:eastAsia="仿宋_GB2312"/>
                      <w:sz w:val="20"/>
                      <w:color w:val="000000"/>
                    </w:rPr>
                    <w:t>EMR无缝对接，能够调阅电子病历的相关患者信息进行查看和验证。</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系统具备完善的数据备份机制，实现增量备份。</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实现在移动</w:t>
                  </w:r>
                  <w:r>
                    <w:rPr>
                      <w:rFonts w:ascii="仿宋_GB2312" w:hAnsi="仿宋_GB2312" w:cs="仿宋_GB2312" w:eastAsia="仿宋_GB2312"/>
                      <w:sz w:val="20"/>
                      <w:color w:val="000000"/>
                    </w:rPr>
                    <w:t>PAD端上的无缝连接。</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本项目为交钥匙工程，免费提供系统相关接口对接服务及第三方系统接口改造费用。</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系统满足医院电子病历六级、互联互通五乙评审要求及后续相关改造。</w:t>
                  </w:r>
                </w:p>
              </w:tc>
            </w:tr>
            <w:tr>
              <w:tc>
                <w:tcPr>
                  <w:tcW w:type="dxa" w:w="187"/>
                  <w:vMerge/>
                  <w:tcBorders>
                    <w:top w:val="none" w:color="000000" w:sz="4"/>
                    <w:left w:val="single" w:color="000000" w:sz="4"/>
                    <w:bottom w:val="single" w:color="000000" w:sz="4"/>
                    <w:right w:val="single" w:color="000000" w:sz="4"/>
                  </w:tcBorders>
                </w:tcPr>
                <w:p/>
              </w:tc>
              <w:tc>
                <w:tcPr>
                  <w:tcW w:type="dxa" w:w="1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住院患者智能监护系统</w:t>
                  </w: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住院患者智能监测知识库</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 重点患者筛选知识库：满足针对特殊疾病、特殊状态的重点患者的智能筛选；</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 监护分级知识库：满足根据患者的状态自动进行监护分级；</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按照最新中国医院协会发布的《医疗机构药学服务规范》中的监护分级要求，提供患者状态规则库，根据脏器功能、检验检查指标、临床评分、人群特点、疾病状态、用药情况、治疗与操作等情况，将患者自动划分为一级监护、二级监护和三级监护；</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(2)临床药师按照患者状态、警示类型、患者标签等条件自定义设置患者监护分级标准，按照自定义分级条件自动将患者划分为一级监护、二级监护和三级监护，并药师手动调整患者监护等级。</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3）系统满足药师自定义管理关注标签，可手动为监护患者添加如 “肝功能异常”“肾功能异常” 等标签；同时满足按标签筛选患者，助力药师高效开展患者管理工作；</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 监护方案知识库：根据患者特征智能构建监护方案；用药疗效与安全性智能检测；</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 住院合理用药规则库：对药品进行相互作用、用法用量等合理用药审查；</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 患者教育知识库：提供患教内容，如给药时间、给药时机、用药注意事项等。可自定义患者教育模板。</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患者管理</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 显示卡片式患者信息展示，并可以病区、筛选方案、患者标签、监护等级、患者姓名、患者号、住院号、医疗组条件进行患者查询；</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2.基于患者临床数据和指标变化，通过AI大模型自动完成监护患者的病情分析，减少药师人工数据整理和分析的精力需要。</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 将患者一键标记为关注患者；</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 对重点患者自动进行监护分级，并显示患者的病情标签；</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 药师对需要特殊关注的患者新增标签，并显示标签在患者卡片上。</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6. 查看患者临床诊疗信息，包括患者基本信息、医嘱信息、检验信息、检查信息、手术信息、生命体征、电子病历、监护全流程等；</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7. 待办事项展示药师未完成的药学服务，同时自动提醒患者当天的监护任务，如药物重整、入院评估、专项评估、用药教育、查房等；并满足药师手动创建。</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8. 待办事项自动显示患者最新生成的监护指标结果和监护药品。</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9. 满足从工作台快捷进入患者药学服务工作，包括药物重整、入院评估、专项评估、用药教育、用药监护、查房等；</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10. 消息通知，提醒药师进行中但还未完成的药学服务，包括药师查房、用药监护、药学评估、用药教育等，可快捷进入编辑界面，完成药学服务。</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11. 患者主页可以显示预警信息，包括监护分级变更预警、疑似不良反应药品预警。</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12. 患者主页可以显示重点信息提醒，包括关注指标、异常指标提醒、新开医嘱提醒、特殊疾病提醒、特殊治疗提醒。</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13. 以时间轴形式显示患者的住院监护全流程，并可以导出。</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14. 一键将患者接入院后监护系统。</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住院临床药学查房</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 展示住院患者列表，可以以病区、患者姓名、床号等条件定位需要进行查房的患者；药师在查房或监护过程中，针对复杂病例可以通过AI大模型问答查询个体化用药最优方案。</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 满足选择患者加入查房，同时设置查房类型及答题卡。</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 满足新增查房记录，并满足针对患者不同时期（入院、在院、即将出院）选择不同的查房类型；</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 提供标准化查房记录表单，药师可在查房时编辑患者的详细查房日志；</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 满足快捷引用患者临床诊疗信息，包括检验信息、医嘱信息、手术信息、电子病历；</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6. 满足快捷引用进行过的药学服务信息，包括查房记录、评估记录、监护记录、宣教记录、药师反馈；</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7. 满足快捷引用常用语，辅助药师快速完成编辑；</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8. 满足自定义设置不同病区查房常用语及查房记录表单；</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9. 满足对未归档的查房记录进行编辑、修改和删除；</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10. 满足将未完成编辑的查房记录自动暂存，随时进行修改和补充编辑；</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11. 满足将已完成查房进行归档，归档后的查房记录不能再进行修改。</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12. 已归档的查房记录可以导出；</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13. 可以将药师建立好的查房记录通过沟通工具推送（可以定时推送）给医生、医生可在医生端沟通工具对记录单进行查看、回复，实现药师-医生的在线沟通;</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14. 展示今日需查房的患者信息，显示查房记录状态，药师可按计划列表，逐个完成；</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15. 展示患者历史查房记录，显示查房记录编辑记录完成状态。</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用药监护</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 根据患者的当前诊断和用药情况自动生成用药监护方案。对检验检查指标、生命体征进行监护；系统根据患者的诊断及药嘱信息自动匹配监护方案，智能为患者生成个性化的药学监护方案，系统每日根据患者信息自动更新监护方案；</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 监护诊断和监护药品满足关联对应的有效性、不良反应的指标和文案。若医院内网信息化建设条件允许时，系统应满足药学监护书写同一界面AI功能，满足AI等大语言模型结合患者数据生成所需要的内容，并自动导入单元格输入框内。根据输入的诊断、药品自动检索知识库内容，并提供内容查看。</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 满足监护指标与患者确认；</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 满足对患者异常指标情况进行智能评估；</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 默认显示当天及前6天的用药监护数据；</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6. 检验指标满足查看趋势图；</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7. 检查信息满足查看报告单和影像图；</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8. 满足根据当天的监护结果生成智能总结文案；</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9. 可以根据智能总结文案生成监护日志的内容。可以用户编辑监护日志；可以用户编辑时引用常用语；</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10. 可以对未归档的用药监护进行编辑、修改和删除；</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11. 可以将未完成编辑的药历自动暂存，随时进行修改和补充编辑；</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12. 可以将已完成用药监护进行归档，归档后的用药监护不能再进行修改；</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13. 已归档的监护记录可以导出;</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14. 可以用户查看历史监护记录，显示用药监护记录完成状态；</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15. 满足将用药监护页面通过沟通工具推送（满足定时推送）给医生、医生可在医生端沟通工具进入监护页面进行查看、回复，实现药师-医生的在线沟通。</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16.满足药师按结构化填写用药监护表，作为药学服务依据；</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17.满足将患者基本信息、检验、检查、病例文书等信息自动填充至用药监护表单；</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用药教育</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 展示住院患者列表，满足以病区、患者姓名、患者号、床号等条件定位需要进行用药教育的患者；</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 满足新增用药教育记录单，包括药品宣教信息及诊断宣教信息；</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 提供标准化宣教信息表单，药师可自定义添加宣教内容；</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 满足快捷引用患者药品信息及诊断信息；</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 满足快捷引用用药教育模板，辅助药师快速完成编辑；</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6. 满足自定义设置用药教育模板，同时满足将添加的用药教育记录存为模板供引用；</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7. 满足对未归档的用药教育进行编辑、修改和删除；</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8. 满足将未完成编辑的用药教育自动暂存，随时进行修改和补充编辑；</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9. 满足将已完成用药教育进行归档，归档后的用药教育不能再进行修改；</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10. 已归档的用药教育可以导出；</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*11. 可以将药师建立好的用药教育记录通过沟通工具推送（可以定时推送）给医生、医生可在医生端沟通工具对记录单进行查看、回复，实现药师-医生的在线沟通；</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12. 系统按照患者在院状态，自动为待出院患者生成用药教育计划，提醒药师为患者开展用药教育；</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13.满足药师自定义维护用药教育模板，开展用药教育时可快捷引用用药教育模板内容，辅助药师快速完成编辑；同时系统满足将手动添加的用药教育记录存为模板；</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14.满足自定义设置用药教育导出/打印模板，包括导出模板样式、导出字段、注意事项等内容；</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入院评估</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 展示住院患者列表，满足以病区、患者姓名、患者号、床号等条件定位需要进行入院评估的患者；</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 满足新增入院评估记录，并满足根据患者情况选择不同的评估模板；</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 提供标准入院评估表单，满足内容选择格式化，满足将患者基本信息、检验、诊断等信息自动填充至入院评估表单</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 满足自定义设置不同病区入院评估表模板；</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 满足对未归档的入院评估进行编辑、修改和删除；</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6. 满足将未完成编辑的入院评估自动暂存，随时进行修改和补充编辑；</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7. 满足将已完成入院评估进行归档，归档后的入院评估不能再进行修改；</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8. 已归档的入院评估可以导出；</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9. 可以将药师建立好的入院评估记录通过沟通工具推送（可以定时推送）给医生、医生可在医生端沟通工具对记录单进行查看、回复，实现药师-医生的在线沟通；</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10. 展示患者历史入院评估记录，显示评估完成状态。</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*11.系统根据患者在院状态，自动为新入院患者生成入院评估计划，并提醒药师为患者开展入院评估.</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专项评估</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 展示住院患者列表，满足以病区、患者姓名、患者号、床号等条件定位需要进行专项评估的患者；</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 满足新增专项评估记录，并满足根据患者情况选择不同的评估量表；</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 提供标准专项评估量表，并根据评估内容自动生成评估结论；</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 满足自定义专项评估量表，包括分类、题目、选项、评分、结论等内容，满足设置选项分数及结论分数范围，帮助药师快速得出评估得分和结论；</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 满足对未归档的专项评估进行编辑、修改和删除；</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6. 满足将未完成编辑的专项评估自动暂存，随时进行修改和补充编辑；</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7. 满足将已完成专项评估进行归档，归档后的专项评估不能再进行修改；</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8. 已归档的专项评估可以导出；</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9. 满足将药师建立好的专项评估记录通过沟通工具推送（满足定时推送）给医生、医生可在医生端沟通工具对记录单进行查看、回复，实现药师-医生的在线沟通；</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10. 展示患者历史专项评估记录，显示评估记录完成状态。</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药物重整</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 展示住院患者列表，满足以病区、患者姓名、患者号、床号等条件定位需要进行药物重整的患者；</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 满足新增药物重整记录，并满足根据患者情况选择不同的记录模板；</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 提供标准药物重整记录表单，满足内容选择格式化，辅助药师快速完成编辑；</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 满足快捷导入患者的既往用药、现用医嘱等信息；</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 根据国家规范提供标准化药物重整表单模板，内容包括基本情况、就诊情况、用药情况、其他信息等内容，并满足自定义设置药物重整模板；</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6. 满足对未归档的药物重整进行编辑、修改和删除；</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7. 满足将未完成编辑的药物重整自动暂存，随时进行修改和补充编辑；</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8. 满足将已完成药物重整进行归档，归档后的药物重整不能再进行修改；</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9. 已归档的药物重整可以导出；</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10. 可以将药师建立好的药物重整记录通过沟通工具推送（可以定时推送）给医生、医生可在医生端沟通工具对记录单进行查看、回复，实现药师-医生的在线沟通；</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11. 展示患者历史药物重整记录，显示药物重整记录完成状态。</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*12.当患者为新入院、转科或待出院状态，系统自动为患者生成药物重整计划，提醒药师为患者开展药物重整服务；</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药师反馈</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 展示住院患者列表，满足以病区、患者姓名、患者号、床号等条件定位需要进行用药反馈的患者；</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 满足新增药师反馈记录；</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 满足快捷引用患者临床诊疗信息，包括检验信息、医嘱信息、手术信息、电子病历等；</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 满足快捷引用药师反馈模板及常用语，辅助药师快速完成编辑；</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 满足自定义设置不同病区常用语及药师反馈模板；</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6. 满足对未归档的药师反馈进行编辑、修改和删除；</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7. 满足将未完成编辑的药师反馈自动暂存，随时进行修改和补充编辑；</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8. 满足将已完成药师反馈进行归档，归档后的药师反馈不能再进行修改；</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9. 已归档的药师反馈可以导出；</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10. 可以将药师建立好的反馈记录单通过沟通工具推送（可以定时推送）给医生、医生可在医生端沟通工具对反馈记录单进行查看、回复，实现药师-医生的在线沟通。</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11. 展示患者历史用药反馈记录，显示用药反馈情况，包括反馈类型、反馈内容及反馈时间。</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电子药历</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 展示住院患者列表，满足以病区、患者姓名、患者号、床号等条件定位需要新建电子药历的患者；电子药历表单模块可结合AI与患者情况与监护情况实现患者病历文本快速智能填充。</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 满足创建患者电子药历信息，包括患者基本信息、病历信息、初始治疗药物、主要治疗药物、治疗日志及出院点评；</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 满足在药历填写过程中快捷引用模板信息、医嘱信息、检验、检查及手术信息、电子病历；</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 满足设置电子药历模板，在电子药历填写过程中快捷引用；</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 满足对未归档的药历进行编辑、修改和删除；</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6. 满足将未完成编辑的药历自动暂存，随时进行修改和补充编辑；</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7. 满足将已完成药历进行归档，归档后的药历不能再进行修改；</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8. 已归档的电子药历可以导出；</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9. 满足查看本人创建的所有药历，并可通过病区、患者姓名、床位号、归档状态等筛选条件进行查询。</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工作量管理</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 可直观展现各药师在各病区进行的药学服务次数；</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 可按时间段、病区、覆盖率等维度统计药师完成的药学服务工作内容。</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在线沟通（医生端）</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 满足医生查看药师发送的的消息，并可查看药师反馈记录；</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 满足医生跟药师对患者情况进行在线交流。</w:t>
                  </w:r>
                </w:p>
              </w:tc>
            </w:tr>
            <w:tr>
              <w:tc>
                <w:tcPr>
                  <w:tcW w:type="dxa" w:w="187"/>
                  <w:vMerge/>
                  <w:tcBorders>
                    <w:top w:val="none" w:color="000000" w:sz="4"/>
                    <w:left w:val="single" w:color="000000" w:sz="4"/>
                    <w:bottom w:val="single" w:color="000000" w:sz="4"/>
                    <w:right w:val="single" w:color="000000" w:sz="4"/>
                  </w:tcBorders>
                </w:tcPr>
                <w:p/>
              </w:tc>
              <w:tc>
                <w:tcPr>
                  <w:tcW w:type="dxa" w:w="1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移动端</w:t>
                  </w: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移动查房</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满足显示患者的基本医疗信息、监护分级变更提醒、疑似不良反应药品、关注的指标、异常的指标、新开医嘱、特殊疾病、特殊治疗；</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 满足药师在查房过程中使用移动设备进行查房相关信息记录；</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 满足药师调阅患者临床诊疗信息，包括患者基本信息、医嘱信息、检验信息、检查信息、手术信息、电子病历等；</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 满足药师对特殊患者进行标记，如肝肾功能不全，血液透析患者等；</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 满足药师调阅患者用药教育记录，并可对患者进行床边宣教；</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 满足药师调阅患者评估记录，并可对患者进行评估填写；</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7. 满足药师查看患者的用药监护信息，并可快速新增；</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8. 满足药师进行用药反馈，并和医生进行在线沟通。满足定时推送。</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9.系统满足药师开展药学查房业务，并满足不同时期（入院、在院、待出院）选择不同的查房类型与查房表单模板；</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门诊药学监护知识库</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 药物有效性和安全性评估知识库；</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 合理用药审查知识库；</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 健康教育知识库；</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 药物咨询常见问题库。</w:t>
                  </w:r>
                </w:p>
              </w:tc>
            </w:tr>
            <w:tr>
              <w:tc>
                <w:tcPr>
                  <w:tcW w:type="dxa" w:w="187"/>
                  <w:vMerge/>
                  <w:tcBorders>
                    <w:top w:val="none" w:color="000000" w:sz="4"/>
                    <w:left w:val="single" w:color="000000" w:sz="4"/>
                    <w:bottom w:val="single" w:color="000000" w:sz="4"/>
                    <w:right w:val="single" w:color="000000" w:sz="4"/>
                  </w:tcBorders>
                </w:tcPr>
                <w:p/>
              </w:tc>
              <w:tc>
                <w:tcPr>
                  <w:tcW w:type="dxa" w:w="1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门诊药学监护系统</w:t>
                  </w: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药学门诊就诊列表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 满足通过对接医院工作站（挂号药师门诊），快捷跳转到药学门诊，传输药学门诊就诊患者信息；</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 如药师门诊不挂号，通过药师门诊接诊（增值）模块功能，跳转到药学门诊，传输门诊/住院患者信息；</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 满足患者药学门诊历史数据查看。</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患者档案管理</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 建立患者药学门诊接诊记录，包括门诊病历、药物咨询、药学评估，用药教育等；</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 满足患者门诊、住院数据自动获取并填充；通过门诊处方或住院医嘱获取诊断、现病史、既往史、用药、检验检查等字段。满足药师通过面诊，补充主诉、过敏史、慢性病史、生活方式等数据；</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 满足药师对单个患者的药学门诊历史数据进行查看和完善。</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药学评估</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 满足根据患者的诊断、用药重整等情况自动提示应关注的生理指标、检验指标和检查项目；</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 满足将患者诊断、用药、病史、生命体征、检验检查、手术、量表给到AI大模型，自动识别存在药物治疗问题（适宜性、有效性、安全性和依从性）、提供治疗方案建议，针对药物治疗问题提出执行步骤和计划，并生成结构化的记录。</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 显示合理用药引擎生成的警示信息；</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 满足自动生成监护日志，药师可手动修改；</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 满足药学评估服务单打印。</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药物重整</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 满足自动获取患者本院医嘱或处方药品，生成患者用药信息列表；</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 满足药师手工添加患者自备药或医院药品；</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药物咨询</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 满足患者用药咨询，针对常见问题有知识库可供查询；基于AI大模型，结合患者基本信息、用药信息、咨询问题，实现个体化用药咨询指导工作。</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 满足对患者咨询情况进行记录；</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 满足用药咨询服务单打印。</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用药建议</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 满足查看患者的病程、用药评估等信息；</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 满足对需要调整用药的患者，填写用药建议。</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用药计划</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 满足根据患者药物重整情况生成用药计划和用药教育；</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 满足药师补充、调整用药时机和修改用药教育内容；</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 满足用药计划服务单打印。</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健康教育</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 满足对患者进行健康教育，如疾病相关基本知识、用药期间的饮食摄入、用药期间运动和睡眠等；</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 满足健康教育服务单打印。</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SOAP药历</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1.根据SOAP药历标准，满足将患者诊断、用药、生命体征、检验检查、手术、量表、专项病史等给到AI大模型，自动填充主观资料、客观资料、用药评估和治疗计划，减少药师手工录入工作量，提升工作效率。</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 满足系统根据本次药学门诊记录，自动填充主观资料、评估和用药建议；</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 满足药师补充患者药物治疗的主观材料、评估和用药建议。</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药学服务统计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 满足药师查看药学服务统计，如药学门诊次数，药物重整次数，药物咨询次数、药学评估次数，用药计划次数，健康教育次数，SOAP药历份数等；</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 满足药学管理人员，查看选定时间范围内，门诊药师的各种工作量统计，与工作量的排名。</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系统设置</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1.满足标签库，药师可手动为患者添加标签，筛选需关注的患者。</w:t>
                  </w:r>
                </w:p>
              </w:tc>
            </w:tr>
            <w:tr>
              <w:tc>
                <w:tcPr>
                  <w:tcW w:type="dxa" w:w="187"/>
                  <w:vMerge/>
                  <w:tcBorders>
                    <w:top w:val="none" w:color="000000" w:sz="4"/>
                    <w:left w:val="single" w:color="000000" w:sz="4"/>
                    <w:bottom w:val="single" w:color="000000" w:sz="4"/>
                    <w:right w:val="single" w:color="000000" w:sz="4"/>
                  </w:tcBorders>
                </w:tcPr>
                <w:p/>
              </w:tc>
              <w:tc>
                <w:tcPr>
                  <w:tcW w:type="dxa" w:w="1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院后药学监护</w:t>
                  </w:r>
                  <w:r>
                    <w:rPr>
                      <w:rFonts w:ascii="仿宋_GB2312" w:hAnsi="仿宋_GB2312" w:cs="仿宋_GB2312" w:eastAsia="仿宋_GB2312"/>
                      <w:sz w:val="20"/>
                      <w:b/>
                      <w:color w:val="000000"/>
                    </w:rPr>
                    <w:t>-药师管理后台</w:t>
                  </w: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账号管理</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 满足在合理用药-用户中心设置药师角色及个人账号；</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 菜单权限，以实现不同层级的管理要求。</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登录</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 药师使用合理用药用户体系的账号名称和密码登录。</w:t>
                  </w:r>
                </w:p>
              </w:tc>
            </w:tr>
            <w:tr>
              <w:tc>
                <w:tcPr>
                  <w:tcW w:type="dxa" w:w="187"/>
                  <w:vMerge/>
                  <w:tcBorders>
                    <w:top w:val="none" w:color="000000" w:sz="4"/>
                    <w:left w:val="single" w:color="000000" w:sz="4"/>
                    <w:bottom w:val="single" w:color="000000" w:sz="4"/>
                    <w:right w:val="single" w:color="000000" w:sz="4"/>
                  </w:tcBorders>
                </w:tcPr>
                <w:p/>
              </w:tc>
              <w:tc>
                <w:tcPr>
                  <w:tcW w:type="dxa" w:w="1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院后药学监护</w:t>
                  </w:r>
                  <w:r>
                    <w:rPr>
                      <w:rFonts w:ascii="仿宋_GB2312" w:hAnsi="仿宋_GB2312" w:cs="仿宋_GB2312" w:eastAsia="仿宋_GB2312"/>
                      <w:sz w:val="20"/>
                      <w:b/>
                      <w:color w:val="000000"/>
                    </w:rPr>
                    <w:t>-药师管理平台</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患者登录</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 患者通过医院的互联网医院统一认证接口进行登录。</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消息通知</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 与医院的公众号消息体系打通，可通过医院公众号向患者发送用药提醒通知；</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 与医院的公众号消息体系打通，可通过医院公众号向患者发送监护任务通知。</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患者首页</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 查看患者基本信息：包括姓名、专属服务药师团队以及当前在用的监护服务方案；</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 异常指标追踪：系统提供近90天关键生理指标及检验结果的异常记录；</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 查看待完成任务：展示待处理任务列表。点击“立即处理”按钮，即可进入任务列表界面，完成后一键提交。点击“更多”按钮，跳转至患者任务列表页面；</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 查看患教资料：包含且不限于疾病知识、运动建议、饮食建议、心理建议。内容图文或者视频；</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 对接互联网医院“药师咨询”功能，患者可咨询医院药师相关的用药问题</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患者任务页</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 按任务类型进行筛选，任务类型包括：生理指标、检验检查、专家提醒、患教资料、复诊提醒、评估量表。任务状态包括：已完成和待完成；</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 查看到专家提醒、患教资料、复诊提醒的文字和图片；</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 患者记录并提交生理指标数据；</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 查看生理指标异常的反馈；</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 患者提交检验检查数据；</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6. 患者在本院完成检验检查后系统自动抓取7日内的检验检查数据，患者无需上传检验检查报告单图片；</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7. 患者在外院完成检验检查后拍照上传报告单图片，药师在后台录入数据；</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8. 满足药师反馈患者上传的图片不符合要求后，患者重新提交；</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9. 查看检验指标异常的反馈；</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10. 患者填写并提交量表；</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11. 查看量表反馈建议；</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12. 已提交的任务可以查看详细内容。</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患者</w:t>
                  </w:r>
                  <w:r>
                    <w:rPr>
                      <w:rFonts w:ascii="仿宋_GB2312" w:hAnsi="仿宋_GB2312" w:cs="仿宋_GB2312" w:eastAsia="仿宋_GB2312"/>
                      <w:sz w:val="20"/>
                      <w:b/>
                      <w:color w:val="000000"/>
                    </w:rPr>
                    <w:t>-用药照护-门诊处方线上用药指导</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满足患者的门诊用药指导单打印后，通过医院的公众号/网上医院的微信消息通道，给患者发送用药照护服务消息；</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 看当前患者有效处方的线上用药指导；</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 线上用药指导单包含患者信息、药品名称、给药途径、单次剂量、使用频次；并针对一些有教育意义的用药常识，提供用药小贴士教育指导；</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 线上用药指导为患者提供精准化患者用药的用药注意事项，可以结合6种患者特征信息（年龄、性别、妊娠状态、药品、诊断等），为患者运行出针对患者个体的用药注意事项患教内容。例如：“孕妇”、“备孕”相关信息只提示给怀孕、备孕相关人群；“间隔服药信息”只提示给同处方中有出现需要间隔服用药品的患者；</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 线上用药指导提供用药指导详细用药教育内容，涉及用药方法、间隔服药、特殊药物贮藏方法、常见现象/药物特性、严重/致死不良反应、育龄女性/男性用药提示、孕期用药提示、其他用药注意事项等，为患者从这些方面着重进行提示；</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 满足药品说明书的在线查看；</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7. 针对特殊剂型或需要特殊注意的药品，线上用药指导还提供用药教育视频内容的展示；</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 用药指导单满足语音播报；</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 提供结合患者门诊处方诊断、用药相关信息内容的科普文章、视频。</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患者</w:t>
                  </w:r>
                  <w:r>
                    <w:rPr>
                      <w:rFonts w:ascii="仿宋_GB2312" w:hAnsi="仿宋_GB2312" w:cs="仿宋_GB2312" w:eastAsia="仿宋_GB2312"/>
                      <w:sz w:val="20"/>
                      <w:b/>
                      <w:color w:val="000000"/>
                    </w:rPr>
                    <w:t>-用药照护-我的处方</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满足按时间的倒序方式排列患者的历史处方用药列表信息，包含：门诊处方、住院医嘱、出院带药；</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 满足通过时间来筛选患者的历史用药信息，分别为：本周、本月、近半年、全部；</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 历史处方列表信息的展示内容包括：医院/分院名称、处方类型、患者名称、性别、年龄、处方/医嘱时间；</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 满足点击查看历史处方的线上用药指导内容信息。</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患者</w:t>
                  </w:r>
                  <w:r>
                    <w:rPr>
                      <w:rFonts w:ascii="仿宋_GB2312" w:hAnsi="仿宋_GB2312" w:cs="仿宋_GB2312" w:eastAsia="仿宋_GB2312"/>
                      <w:sz w:val="20"/>
                      <w:b/>
                      <w:color w:val="000000"/>
                    </w:rPr>
                    <w:t>-用药照护-用药计划</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满足根据合并当前患者的有效用药信息，结合药品的使用频率、药品自身的使用时机特点、药物与药物之间间隔服用的相关要求及患者的作息时间，系统自动规划好患者当前有效用药的用药规划，并以单日患者作息起床时间为起点、以就寝为终点，合理规划患者的用药批次及用药时间；</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 满足以时间线的形式展示患者一日的完整用药计划；</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 满足以日历形式展示患者的用药日历及真实用药打卡情况；</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 用药规划明确患者用药时间、餐前或餐后、用药批次中的药品信息、给药途径、单次给药剂量；</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 满足患者在该页面进行用药打卡记录；</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 满足患者自定义个人的作息时间，并在患者自定义了作息时间后及时的调整患者的用药计划；</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7. 满足根据患者的用药计划，进行患者用药提醒。</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患者</w:t>
                  </w:r>
                  <w:r>
                    <w:rPr>
                      <w:rFonts w:ascii="仿宋_GB2312" w:hAnsi="仿宋_GB2312" w:cs="仿宋_GB2312" w:eastAsia="仿宋_GB2312"/>
                      <w:sz w:val="20"/>
                      <w:b/>
                      <w:color w:val="000000"/>
                    </w:rPr>
                    <w:t>-用药照护-用药提醒</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满足通过患者有效用药信息生成的用药计划创建用药提醒；</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 满足查看当前有效的已经开启了用药提醒的药品列表，及药品提醒的详情信息；</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 满足患者自行修改用药提醒信息，修改内容包括：用药方式、单次用量、用药次数、提醒周期、用药天数；</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 满足患者自行停止药品的用药提醒。</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患者</w:t>
                  </w:r>
                  <w:r>
                    <w:rPr>
                      <w:rFonts w:ascii="仿宋_GB2312" w:hAnsi="仿宋_GB2312" w:cs="仿宋_GB2312" w:eastAsia="仿宋_GB2312"/>
                      <w:sz w:val="20"/>
                      <w:b/>
                      <w:color w:val="000000"/>
                    </w:rPr>
                    <w:t>-用药照护-用药咨询</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满足跳转互联网医院的“药师咨询”服务，方便患者直接咨询医院药师相关的用药问题。</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患者</w:t>
                  </w:r>
                  <w:r>
                    <w:rPr>
                      <w:rFonts w:ascii="仿宋_GB2312" w:hAnsi="仿宋_GB2312" w:cs="仿宋_GB2312" w:eastAsia="仿宋_GB2312"/>
                      <w:sz w:val="20"/>
                      <w:b/>
                      <w:color w:val="000000"/>
                    </w:rPr>
                    <w:t>-健康档案</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 满足查看患者基本信息，包括姓名、性别和年龄；</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 满足查看监护服务方案任务的生理指标记录，如血压、心率、血糖等；</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 满足查看生理指标异常提示；</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 满足查看患者当前正在执行的健康管理方案；</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 满足查看在用方案的待完成任务与已完成任务；</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6. 满足查看已完成任务内容；</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7. 满足快捷进入待完成任务详情，方便患者完成任务；</w:t>
                  </w:r>
                </w:p>
              </w:tc>
            </w:tr>
            <w:tr>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8. 满足查看历史方案和方案详情，历史方案的任务只能查看不可填写。</w:t>
                  </w:r>
                </w:p>
              </w:tc>
            </w:tr>
          </w:tbl>
          <w:p>
            <w:pPr>
              <w:pStyle w:val="null3"/>
            </w:pPr>
            <w:r>
              <w:rPr>
                <w:rFonts w:ascii="仿宋_GB2312" w:hAnsi="仿宋_GB2312" w:cs="仿宋_GB2312" w:eastAsia="仿宋_GB2312"/>
              </w:rPr>
              <w:t>1.2</w:t>
            </w:r>
            <w:r>
              <w:rPr>
                <w:rFonts w:ascii="仿宋_GB2312" w:hAnsi="仿宋_GB2312" w:cs="仿宋_GB2312" w:eastAsia="仿宋_GB2312"/>
                <w:sz w:val="28"/>
                <w:b/>
              </w:rPr>
              <w:t>药师查房平板</w:t>
            </w:r>
          </w:p>
          <w:tbl>
            <w:tblPr>
              <w:tblInd w:type="dxa" w:w="90"/>
              <w:tblBorders>
                <w:top w:val="none" w:color="000000" w:sz="4"/>
                <w:left w:val="none" w:color="000000" w:sz="4"/>
                <w:bottom w:val="none" w:color="000000" w:sz="4"/>
                <w:right w:val="none" w:color="000000" w:sz="4"/>
                <w:insideH w:val="none"/>
                <w:insideV w:val="none"/>
              </w:tblBorders>
            </w:tblPr>
            <w:tblGrid>
              <w:gridCol w:w="321"/>
              <w:gridCol w:w="229"/>
              <w:gridCol w:w="390"/>
              <w:gridCol w:w="1304"/>
              <w:gridCol w:w="298"/>
            </w:tblGrid>
            <w:tr>
              <w:tc>
                <w:tcPr>
                  <w:tcW w:type="dxa" w:w="32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药师查房平板</w:t>
                  </w:r>
                </w:p>
              </w:tc>
              <w:tc>
                <w:tcPr>
                  <w:tcW w:type="dxa" w:w="2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3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功能模块</w:t>
                  </w:r>
                </w:p>
              </w:tc>
              <w:tc>
                <w:tcPr>
                  <w:tcW w:type="dxa" w:w="1304"/>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功能指标要求</w:t>
                  </w:r>
                </w:p>
              </w:tc>
              <w:tc>
                <w:tcPr>
                  <w:tcW w:type="dxa" w:w="298"/>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321"/>
                  <w:vMerge/>
                  <w:tcBorders>
                    <w:top w:val="single" w:color="000000" w:sz="4"/>
                    <w:left w:val="single" w:color="000000" w:sz="4"/>
                    <w:bottom w:val="singl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操作系统</w:t>
                  </w:r>
                </w:p>
              </w:tc>
              <w:tc>
                <w:tcPr>
                  <w:tcW w:type="dxa" w:w="130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鸿蒙系统或</w:t>
                  </w:r>
                  <w:r>
                    <w:rPr>
                      <w:rFonts w:ascii="仿宋_GB2312" w:hAnsi="仿宋_GB2312" w:cs="仿宋_GB2312" w:eastAsia="仿宋_GB2312"/>
                      <w:sz w:val="20"/>
                      <w:color w:val="000000"/>
                    </w:rPr>
                    <w:t>Windows等主流操作系统</w:t>
                  </w:r>
                </w:p>
              </w:tc>
              <w:tc>
                <w:tcPr>
                  <w:tcW w:type="dxa" w:w="29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r>
            <w:tr>
              <w:tc>
                <w:tcPr>
                  <w:tcW w:type="dxa" w:w="321"/>
                  <w:vMerge/>
                  <w:tcBorders>
                    <w:top w:val="single" w:color="000000" w:sz="4"/>
                    <w:left w:val="single" w:color="000000" w:sz="4"/>
                    <w:bottom w:val="singl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连接</w:t>
                  </w:r>
                </w:p>
              </w:tc>
              <w:tc>
                <w:tcPr>
                  <w:tcW w:type="dxa" w:w="130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WiFi 版，带SIM卡卡槽；有蓝牙功能</w:t>
                  </w:r>
                </w:p>
              </w:tc>
              <w:tc>
                <w:tcPr>
                  <w:tcW w:type="dxa" w:w="298"/>
                  <w:vMerge/>
                  <w:tcBorders>
                    <w:top w:val="single" w:color="000000" w:sz="4"/>
                    <w:left w:val="single" w:color="000000" w:sz="4"/>
                    <w:bottom w:val="single" w:color="000000" w:sz="4"/>
                    <w:right w:val="single" w:color="000000" w:sz="4"/>
                  </w:tcBorders>
                </w:tcPr>
                <w:p/>
              </w:tc>
            </w:tr>
            <w:tr>
              <w:tc>
                <w:tcPr>
                  <w:tcW w:type="dxa" w:w="321"/>
                  <w:vMerge/>
                  <w:tcBorders>
                    <w:top w:val="single" w:color="000000" w:sz="4"/>
                    <w:left w:val="single" w:color="000000" w:sz="4"/>
                    <w:bottom w:val="singl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处理器</w:t>
                  </w:r>
                </w:p>
              </w:tc>
              <w:tc>
                <w:tcPr>
                  <w:tcW w:type="dxa" w:w="130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Kirin或英特尔等主流处理器</w:t>
                  </w:r>
                </w:p>
              </w:tc>
              <w:tc>
                <w:tcPr>
                  <w:tcW w:type="dxa" w:w="298"/>
                  <w:vMerge/>
                  <w:tcBorders>
                    <w:top w:val="single" w:color="000000" w:sz="4"/>
                    <w:left w:val="single" w:color="000000" w:sz="4"/>
                    <w:bottom w:val="single" w:color="000000" w:sz="4"/>
                    <w:right w:val="single" w:color="000000" w:sz="4"/>
                  </w:tcBorders>
                </w:tcPr>
                <w:p/>
              </w:tc>
            </w:tr>
            <w:tr>
              <w:tc>
                <w:tcPr>
                  <w:tcW w:type="dxa" w:w="321"/>
                  <w:vMerge/>
                  <w:tcBorders>
                    <w:top w:val="single" w:color="000000" w:sz="4"/>
                    <w:left w:val="single" w:color="000000" w:sz="4"/>
                    <w:bottom w:val="singl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存储容量</w:t>
                  </w:r>
                </w:p>
              </w:tc>
              <w:tc>
                <w:tcPr>
                  <w:tcW w:type="dxa" w:w="130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≥256G</w:t>
                  </w:r>
                </w:p>
              </w:tc>
              <w:tc>
                <w:tcPr>
                  <w:tcW w:type="dxa" w:w="298"/>
                  <w:vMerge/>
                  <w:tcBorders>
                    <w:top w:val="single" w:color="000000" w:sz="4"/>
                    <w:left w:val="single" w:color="000000" w:sz="4"/>
                    <w:bottom w:val="single" w:color="000000" w:sz="4"/>
                    <w:right w:val="single" w:color="000000" w:sz="4"/>
                  </w:tcBorders>
                </w:tcPr>
                <w:p/>
              </w:tc>
            </w:tr>
            <w:tr>
              <w:tc>
                <w:tcPr>
                  <w:tcW w:type="dxa" w:w="321"/>
                  <w:vMerge/>
                  <w:tcBorders>
                    <w:top w:val="single" w:color="000000" w:sz="4"/>
                    <w:left w:val="single" w:color="000000" w:sz="4"/>
                    <w:bottom w:val="singl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内存</w:t>
                  </w:r>
                </w:p>
              </w:tc>
              <w:tc>
                <w:tcPr>
                  <w:tcW w:type="dxa" w:w="130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≥8G</w:t>
                  </w:r>
                </w:p>
              </w:tc>
              <w:tc>
                <w:tcPr>
                  <w:tcW w:type="dxa" w:w="298"/>
                  <w:vMerge/>
                  <w:tcBorders>
                    <w:top w:val="single" w:color="000000" w:sz="4"/>
                    <w:left w:val="single" w:color="000000" w:sz="4"/>
                    <w:bottom w:val="single" w:color="000000" w:sz="4"/>
                    <w:right w:val="single" w:color="000000" w:sz="4"/>
                  </w:tcBorders>
                </w:tcPr>
                <w:p/>
              </w:tc>
            </w:tr>
            <w:tr>
              <w:tc>
                <w:tcPr>
                  <w:tcW w:type="dxa" w:w="321"/>
                  <w:vMerge/>
                  <w:tcBorders>
                    <w:top w:val="single" w:color="000000" w:sz="4"/>
                    <w:left w:val="single" w:color="000000" w:sz="4"/>
                    <w:bottom w:val="singl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屏幕尺寸</w:t>
                  </w:r>
                </w:p>
              </w:tc>
              <w:tc>
                <w:tcPr>
                  <w:tcW w:type="dxa" w:w="130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≥11英寸触摸屏</w:t>
                  </w:r>
                </w:p>
              </w:tc>
              <w:tc>
                <w:tcPr>
                  <w:tcW w:type="dxa" w:w="298"/>
                  <w:vMerge/>
                  <w:tcBorders>
                    <w:top w:val="single" w:color="000000" w:sz="4"/>
                    <w:left w:val="single" w:color="000000" w:sz="4"/>
                    <w:bottom w:val="single" w:color="000000" w:sz="4"/>
                    <w:right w:val="single" w:color="000000" w:sz="4"/>
                  </w:tcBorders>
                </w:tcPr>
                <w:p/>
              </w:tc>
            </w:tr>
            <w:tr>
              <w:tc>
                <w:tcPr>
                  <w:tcW w:type="dxa" w:w="321"/>
                  <w:vMerge/>
                  <w:tcBorders>
                    <w:top w:val="single" w:color="000000" w:sz="4"/>
                    <w:left w:val="single" w:color="000000" w:sz="4"/>
                    <w:bottom w:val="singl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配件</w:t>
                  </w:r>
                </w:p>
              </w:tc>
              <w:tc>
                <w:tcPr>
                  <w:tcW w:type="dxa" w:w="130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手写笔</w:t>
                  </w:r>
                </w:p>
              </w:tc>
              <w:tc>
                <w:tcPr>
                  <w:tcW w:type="dxa" w:w="298"/>
                  <w:vMerge/>
                  <w:tcBorders>
                    <w:top w:val="single" w:color="000000" w:sz="4"/>
                    <w:left w:val="single" w:color="000000" w:sz="4"/>
                    <w:bottom w:val="single" w:color="000000" w:sz="4"/>
                    <w:right w:val="single" w:color="000000" w:sz="4"/>
                  </w:tcBorders>
                </w:tcPr>
                <w:p/>
              </w:tc>
            </w:tr>
          </w:tbl>
          <w:p>
            <w:pPr>
              <w:pStyle w:val="null3"/>
            </w:pPr>
            <w:r>
              <w:rPr>
                <w:rFonts w:ascii="仿宋_GB2312" w:hAnsi="仿宋_GB2312" w:cs="仿宋_GB2312" w:eastAsia="仿宋_GB2312"/>
              </w:rPr>
              <w:t>1.3</w:t>
            </w:r>
            <w:r>
              <w:rPr>
                <w:rFonts w:ascii="仿宋_GB2312" w:hAnsi="仿宋_GB2312" w:cs="仿宋_GB2312" w:eastAsia="仿宋_GB2312"/>
                <w:sz w:val="28"/>
                <w:b/>
              </w:rPr>
              <w:t>临床药师智慧化工作站</w:t>
            </w:r>
            <w:r>
              <w:rPr>
                <w:rFonts w:ascii="仿宋_GB2312" w:hAnsi="仿宋_GB2312" w:cs="仿宋_GB2312" w:eastAsia="仿宋_GB2312"/>
                <w:sz w:val="28"/>
                <w:b/>
              </w:rPr>
              <w:t>AI</w:t>
            </w:r>
            <w:r>
              <w:rPr>
                <w:rFonts w:ascii="仿宋_GB2312" w:hAnsi="仿宋_GB2312" w:cs="仿宋_GB2312" w:eastAsia="仿宋_GB2312"/>
                <w:sz w:val="28"/>
                <w:b/>
              </w:rPr>
              <w:t>服务器</w:t>
            </w:r>
          </w:p>
          <w:tbl>
            <w:tblPr>
              <w:tblInd w:type="dxa" w:w="90"/>
              <w:tblBorders>
                <w:top w:val="none" w:color="000000" w:sz="4"/>
                <w:left w:val="none" w:color="000000" w:sz="4"/>
                <w:bottom w:val="none" w:color="000000" w:sz="4"/>
                <w:right w:val="none" w:color="000000" w:sz="4"/>
                <w:insideH w:val="none"/>
                <w:insideV w:val="none"/>
              </w:tblBorders>
            </w:tblPr>
            <w:tblGrid>
              <w:gridCol w:w="210"/>
              <w:gridCol w:w="252"/>
              <w:gridCol w:w="412"/>
              <w:gridCol w:w="1448"/>
              <w:gridCol w:w="220"/>
            </w:tblGrid>
            <w:tr>
              <w:tc>
                <w:tcPr>
                  <w:tcW w:type="dxa" w:w="21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临床药师智慧化工作站</w:t>
                  </w:r>
                  <w:r>
                    <w:rPr>
                      <w:rFonts w:ascii="仿宋_GB2312" w:hAnsi="仿宋_GB2312" w:cs="仿宋_GB2312" w:eastAsia="仿宋_GB2312"/>
                      <w:sz w:val="21"/>
                      <w:b/>
                      <w:color w:val="000000"/>
                    </w:rPr>
                    <w:t>AI服务器</w:t>
                  </w:r>
                </w:p>
              </w:tc>
              <w:tc>
                <w:tcPr>
                  <w:tcW w:type="dxa" w:w="2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4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功能模块</w:t>
                  </w:r>
                </w:p>
              </w:tc>
              <w:tc>
                <w:tcPr>
                  <w:tcW w:type="dxa" w:w="1448"/>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功能指标要求</w:t>
                  </w:r>
                </w:p>
              </w:tc>
              <w:tc>
                <w:tcPr>
                  <w:tcW w:type="dxa" w:w="220"/>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210"/>
                  <w:vMerge/>
                  <w:tcBorders>
                    <w:top w:val="single" w:color="000000" w:sz="4"/>
                    <w:left w:val="single" w:color="000000" w:sz="4"/>
                    <w:bottom w:val="single" w:color="000000" w:sz="4"/>
                    <w:right w:val="single" w:color="000000" w:sz="4"/>
                  </w:tcBorders>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CPU</w:t>
                  </w:r>
                </w:p>
              </w:tc>
              <w:tc>
                <w:tcPr>
                  <w:tcW w:type="dxa" w:w="144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≥2*32核 64 线程</w:t>
                  </w:r>
                </w:p>
              </w:tc>
              <w:tc>
                <w:tcPr>
                  <w:tcW w:type="dxa" w:w="22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vMerge/>
                  <w:tcBorders>
                    <w:top w:val="single" w:color="000000" w:sz="4"/>
                    <w:left w:val="single" w:color="000000" w:sz="4"/>
                    <w:bottom w:val="single" w:color="000000" w:sz="4"/>
                    <w:right w:val="single" w:color="000000" w:sz="4"/>
                  </w:tcBorders>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w:t>
                  </w:r>
                </w:p>
              </w:tc>
              <w:tc>
                <w:tcPr>
                  <w:tcW w:type="dxa" w:w="144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≥12*32G</w:t>
                  </w:r>
                </w:p>
              </w:tc>
              <w:tc>
                <w:tcPr>
                  <w:tcW w:type="dxa" w:w="220"/>
                  <w:vMerge/>
                  <w:tcBorders>
                    <w:top w:val="single" w:color="000000" w:sz="4"/>
                    <w:left w:val="single" w:color="000000" w:sz="4"/>
                    <w:bottom w:val="single" w:color="000000" w:sz="4"/>
                    <w:right w:val="single" w:color="000000" w:sz="4"/>
                  </w:tcBorders>
                </w:tcPr>
                <w:p/>
              </w:tc>
            </w:tr>
            <w:tr>
              <w:tc>
                <w:tcPr>
                  <w:tcW w:type="dxa" w:w="210"/>
                  <w:vMerge/>
                  <w:tcBorders>
                    <w:top w:val="single" w:color="000000" w:sz="4"/>
                    <w:left w:val="single" w:color="000000" w:sz="4"/>
                    <w:bottom w:val="single" w:color="000000" w:sz="4"/>
                    <w:right w:val="single" w:color="000000" w:sz="4"/>
                  </w:tcBorders>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w:t>
                  </w:r>
                </w:p>
              </w:tc>
              <w:tc>
                <w:tcPr>
                  <w:tcW w:type="dxa" w:w="144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≥2*1.92T SATA 2.5 寸 SSD</w:t>
                  </w:r>
                </w:p>
              </w:tc>
              <w:tc>
                <w:tcPr>
                  <w:tcW w:type="dxa" w:w="220"/>
                  <w:vMerge/>
                  <w:tcBorders>
                    <w:top w:val="single" w:color="000000" w:sz="4"/>
                    <w:left w:val="single" w:color="000000" w:sz="4"/>
                    <w:bottom w:val="single" w:color="000000" w:sz="4"/>
                    <w:right w:val="single" w:color="000000" w:sz="4"/>
                  </w:tcBorders>
                </w:tcPr>
                <w:p/>
              </w:tc>
            </w:tr>
            <w:tr>
              <w:tc>
                <w:tcPr>
                  <w:tcW w:type="dxa" w:w="210"/>
                  <w:vMerge/>
                  <w:tcBorders>
                    <w:top w:val="single" w:color="000000" w:sz="4"/>
                    <w:left w:val="single" w:color="000000" w:sz="4"/>
                    <w:bottom w:val="single" w:color="000000" w:sz="4"/>
                    <w:right w:val="single" w:color="000000" w:sz="4"/>
                  </w:tcBorders>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≥3*8TB SAS 3.5 寸 7200 转</w:t>
                  </w:r>
                </w:p>
              </w:tc>
              <w:tc>
                <w:tcPr>
                  <w:tcW w:type="dxa" w:w="220"/>
                  <w:vMerge/>
                  <w:tcBorders>
                    <w:top w:val="single" w:color="000000" w:sz="4"/>
                    <w:left w:val="single" w:color="000000" w:sz="4"/>
                    <w:bottom w:val="single" w:color="000000" w:sz="4"/>
                    <w:right w:val="single" w:color="000000" w:sz="4"/>
                  </w:tcBorders>
                </w:tcPr>
                <w:p/>
              </w:tc>
            </w:tr>
            <w:tr>
              <w:tc>
                <w:tcPr>
                  <w:tcW w:type="dxa" w:w="210"/>
                  <w:vMerge/>
                  <w:tcBorders>
                    <w:top w:val="single" w:color="000000" w:sz="4"/>
                    <w:left w:val="single" w:color="000000" w:sz="4"/>
                    <w:bottom w:val="single" w:color="000000" w:sz="4"/>
                    <w:right w:val="single" w:color="000000" w:sz="4"/>
                  </w:tcBorders>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网卡</w:t>
                  </w:r>
                </w:p>
              </w:tc>
              <w:tc>
                <w:tcPr>
                  <w:tcW w:type="dxa" w:w="144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万兆光口网卡（含模块）</w:t>
                  </w:r>
                </w:p>
              </w:tc>
              <w:tc>
                <w:tcPr>
                  <w:tcW w:type="dxa" w:w="220"/>
                  <w:vMerge/>
                  <w:tcBorders>
                    <w:top w:val="single" w:color="000000" w:sz="4"/>
                    <w:left w:val="single" w:color="000000" w:sz="4"/>
                    <w:bottom w:val="single" w:color="000000" w:sz="4"/>
                    <w:right w:val="single" w:color="000000" w:sz="4"/>
                  </w:tcBorders>
                </w:tcPr>
                <w:p/>
              </w:tc>
            </w:tr>
            <w:tr>
              <w:tc>
                <w:tcPr>
                  <w:tcW w:type="dxa" w:w="210"/>
                  <w:vMerge/>
                  <w:tcBorders>
                    <w:top w:val="single" w:color="000000" w:sz="4"/>
                    <w:left w:val="single" w:color="000000" w:sz="4"/>
                    <w:bottom w:val="single" w:color="000000" w:sz="4"/>
                    <w:right w:val="single" w:color="000000" w:sz="4"/>
                  </w:tcBorders>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GPU</w:t>
                  </w:r>
                </w:p>
              </w:tc>
              <w:tc>
                <w:tcPr>
                  <w:tcW w:type="dxa" w:w="144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≥2*A800 同等算力卡</w:t>
                  </w:r>
                </w:p>
              </w:tc>
              <w:tc>
                <w:tcPr>
                  <w:tcW w:type="dxa" w:w="220"/>
                  <w:vMerge/>
                  <w:tcBorders>
                    <w:top w:val="single" w:color="000000" w:sz="4"/>
                    <w:left w:val="single" w:color="000000" w:sz="4"/>
                    <w:bottom w:val="single" w:color="000000" w:sz="4"/>
                    <w:right w:val="single" w:color="000000" w:sz="4"/>
                  </w:tcBorders>
                </w:tcPr>
                <w:p/>
              </w:tc>
            </w:tr>
            <w:tr>
              <w:tc>
                <w:tcPr>
                  <w:tcW w:type="dxa" w:w="210"/>
                  <w:vMerge/>
                  <w:tcBorders>
                    <w:top w:val="single" w:color="000000" w:sz="4"/>
                    <w:left w:val="single" w:color="000000" w:sz="4"/>
                    <w:bottom w:val="single" w:color="000000" w:sz="4"/>
                    <w:right w:val="single" w:color="000000" w:sz="4"/>
                  </w:tcBorders>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阵列卡</w:t>
                  </w:r>
                </w:p>
              </w:tc>
              <w:tc>
                <w:tcPr>
                  <w:tcW w:type="dxa" w:w="144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PERC H755，8G RAID 控制器</w:t>
                  </w:r>
                </w:p>
              </w:tc>
              <w:tc>
                <w:tcPr>
                  <w:tcW w:type="dxa" w:w="220"/>
                  <w:vMerge/>
                  <w:tcBorders>
                    <w:top w:val="single" w:color="000000" w:sz="4"/>
                    <w:left w:val="single" w:color="000000" w:sz="4"/>
                    <w:bottom w:val="single" w:color="000000" w:sz="4"/>
                    <w:right w:val="single" w:color="000000" w:sz="4"/>
                  </w:tcBorders>
                </w:tcPr>
                <w:p/>
              </w:tc>
            </w:tr>
            <w:tr>
              <w:tc>
                <w:tcPr>
                  <w:tcW w:type="dxa" w:w="210"/>
                  <w:vMerge/>
                  <w:tcBorders>
                    <w:top w:val="single" w:color="000000" w:sz="4"/>
                    <w:left w:val="single" w:color="000000" w:sz="4"/>
                    <w:bottom w:val="single" w:color="000000" w:sz="4"/>
                    <w:right w:val="single" w:color="000000" w:sz="4"/>
                  </w:tcBorders>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扩展能力</w:t>
                  </w:r>
                </w:p>
              </w:tc>
              <w:tc>
                <w:tcPr>
                  <w:tcW w:type="dxa" w:w="144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PCIe 扩展槽</w:t>
                  </w:r>
                </w:p>
              </w:tc>
              <w:tc>
                <w:tcPr>
                  <w:tcW w:type="dxa" w:w="220"/>
                  <w:vMerge/>
                  <w:tcBorders>
                    <w:top w:val="single" w:color="000000" w:sz="4"/>
                    <w:left w:val="single" w:color="000000" w:sz="4"/>
                    <w:bottom w:val="single" w:color="000000" w:sz="4"/>
                    <w:right w:val="single" w:color="000000" w:sz="4"/>
                  </w:tcBorders>
                </w:tcPr>
                <w:p/>
              </w:tc>
            </w:tr>
            <w:tr>
              <w:tc>
                <w:tcPr>
                  <w:tcW w:type="dxa" w:w="210"/>
                  <w:vMerge/>
                  <w:tcBorders>
                    <w:top w:val="single" w:color="000000" w:sz="4"/>
                    <w:left w:val="single" w:color="000000" w:sz="4"/>
                    <w:bottom w:val="single" w:color="000000" w:sz="4"/>
                    <w:right w:val="single" w:color="000000" w:sz="4"/>
                  </w:tcBorders>
                </w:tcPr>
                <w:p/>
              </w:tc>
              <w:tc>
                <w:tcPr>
                  <w:tcW w:type="dxa" w:w="2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模型基座</w:t>
                  </w:r>
                </w:p>
              </w:tc>
              <w:tc>
                <w:tcPr>
                  <w:tcW w:type="dxa" w:w="144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deepseek-ai/DeepSeek-R1-Disti11-Qwen-32B</w:t>
                  </w:r>
                </w:p>
              </w:tc>
              <w:tc>
                <w:tcPr>
                  <w:tcW w:type="dxa" w:w="220"/>
                  <w:vMerge/>
                  <w:tcBorders>
                    <w:top w:val="single" w:color="000000" w:sz="4"/>
                    <w:left w:val="single" w:color="000000" w:sz="4"/>
                    <w:bottom w:val="single" w:color="000000" w:sz="4"/>
                    <w:right w:val="single" w:color="000000" w:sz="4"/>
                  </w:tcBorders>
                </w:tcPr>
                <w:p/>
              </w:tc>
            </w:tr>
            <w:tr>
              <w:tc>
                <w:tcPr>
                  <w:tcW w:type="dxa" w:w="210"/>
                  <w:vMerge/>
                  <w:tcBorders>
                    <w:top w:val="single" w:color="000000" w:sz="4"/>
                    <w:left w:val="single" w:color="000000" w:sz="4"/>
                    <w:bottom w:val="single" w:color="000000" w:sz="4"/>
                    <w:right w:val="single" w:color="000000" w:sz="4"/>
                  </w:tcBorders>
                </w:tcPr>
                <w:p/>
              </w:tc>
              <w:tc>
                <w:tcPr>
                  <w:tcW w:type="dxa" w:w="252"/>
                  <w:vMerge/>
                  <w:tcBorders>
                    <w:top w:val="none" w:color="000000" w:sz="4"/>
                    <w:left w:val="none" w:color="000000" w:sz="4"/>
                    <w:bottom w:val="single" w:color="000000" w:sz="4"/>
                    <w:right w:val="single" w:color="000000" w:sz="4"/>
                  </w:tcBorders>
                </w:tcPr>
                <w:p/>
              </w:tc>
              <w:tc>
                <w:tcPr>
                  <w:tcW w:type="dxa" w:w="412"/>
                  <w:vMerge/>
                  <w:tcBorders>
                    <w:top w:val="none" w:color="000000" w:sz="4"/>
                    <w:left w:val="none" w:color="000000" w:sz="4"/>
                    <w:bottom w:val="single" w:color="000000" w:sz="4"/>
                    <w:right w:val="single" w:color="000000" w:sz="4"/>
                  </w:tcBorders>
                </w:tcPr>
                <w:p/>
              </w:tc>
              <w:tc>
                <w:tcPr>
                  <w:tcW w:type="dxa" w:w="144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Qwen/Qwen2.5-7B-Instruct</w:t>
                  </w:r>
                </w:p>
              </w:tc>
              <w:tc>
                <w:tcPr>
                  <w:tcW w:type="dxa" w:w="220"/>
                  <w:vMerge/>
                  <w:tcBorders>
                    <w:top w:val="single" w:color="000000" w:sz="4"/>
                    <w:left w:val="single" w:color="000000" w:sz="4"/>
                    <w:bottom w:val="single" w:color="000000" w:sz="4"/>
                    <w:right w:val="single" w:color="000000" w:sz="4"/>
                  </w:tcBorders>
                </w:tcPr>
                <w:p/>
              </w:tc>
            </w:tr>
            <w:tr>
              <w:tc>
                <w:tcPr>
                  <w:tcW w:type="dxa" w:w="210"/>
                  <w:vMerge/>
                  <w:tcBorders>
                    <w:top w:val="single" w:color="000000" w:sz="4"/>
                    <w:left w:val="single" w:color="000000" w:sz="4"/>
                    <w:bottom w:val="single" w:color="000000" w:sz="4"/>
                    <w:right w:val="single" w:color="000000" w:sz="4"/>
                  </w:tcBorders>
                </w:tcPr>
                <w:p/>
              </w:tc>
              <w:tc>
                <w:tcPr>
                  <w:tcW w:type="dxa" w:w="252"/>
                  <w:vMerge/>
                  <w:tcBorders>
                    <w:top w:val="none" w:color="000000" w:sz="4"/>
                    <w:left w:val="none" w:color="000000" w:sz="4"/>
                    <w:bottom w:val="single" w:color="000000" w:sz="4"/>
                    <w:right w:val="single" w:color="000000" w:sz="4"/>
                  </w:tcBorders>
                </w:tcPr>
                <w:p/>
              </w:tc>
              <w:tc>
                <w:tcPr>
                  <w:tcW w:type="dxa" w:w="412"/>
                  <w:vMerge/>
                  <w:tcBorders>
                    <w:top w:val="none" w:color="000000" w:sz="4"/>
                    <w:left w:val="none" w:color="000000" w:sz="4"/>
                    <w:bottom w:val="single" w:color="000000" w:sz="4"/>
                    <w:right w:val="single" w:color="000000" w:sz="4"/>
                  </w:tcBorders>
                </w:tcPr>
                <w:p/>
              </w:tc>
              <w:tc>
                <w:tcPr>
                  <w:tcW w:type="dxa" w:w="144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bge-m3</w:t>
                  </w:r>
                </w:p>
              </w:tc>
              <w:tc>
                <w:tcPr>
                  <w:tcW w:type="dxa" w:w="220"/>
                  <w:vMerge/>
                  <w:tcBorders>
                    <w:top w:val="single" w:color="000000" w:sz="4"/>
                    <w:left w:val="single" w:color="000000" w:sz="4"/>
                    <w:bottom w:val="single" w:color="000000" w:sz="4"/>
                    <w:right w:val="single" w:color="000000" w:sz="4"/>
                  </w:tcBorders>
                </w:tcPr>
                <w:p/>
              </w:tc>
            </w:tr>
            <w:tr>
              <w:tc>
                <w:tcPr>
                  <w:tcW w:type="dxa" w:w="210"/>
                  <w:vMerge/>
                  <w:tcBorders>
                    <w:top w:val="single" w:color="000000" w:sz="4"/>
                    <w:left w:val="single" w:color="000000" w:sz="4"/>
                    <w:bottom w:val="single" w:color="000000" w:sz="4"/>
                    <w:right w:val="single" w:color="000000" w:sz="4"/>
                  </w:tcBorders>
                </w:tcPr>
                <w:p/>
              </w:tc>
              <w:tc>
                <w:tcPr>
                  <w:tcW w:type="dxa" w:w="252"/>
                  <w:vMerge/>
                  <w:tcBorders>
                    <w:top w:val="none" w:color="000000" w:sz="4"/>
                    <w:left w:val="none" w:color="000000" w:sz="4"/>
                    <w:bottom w:val="single" w:color="000000" w:sz="4"/>
                    <w:right w:val="single" w:color="000000" w:sz="4"/>
                  </w:tcBorders>
                </w:tcPr>
                <w:p/>
              </w:tc>
              <w:tc>
                <w:tcPr>
                  <w:tcW w:type="dxa" w:w="412"/>
                  <w:vMerge/>
                  <w:tcBorders>
                    <w:top w:val="none" w:color="000000" w:sz="4"/>
                    <w:left w:val="none" w:color="000000" w:sz="4"/>
                    <w:bottom w:val="single" w:color="000000" w:sz="4"/>
                    <w:right w:val="single" w:color="000000" w:sz="4"/>
                  </w:tcBorders>
                </w:tcPr>
                <w:p/>
              </w:tc>
              <w:tc>
                <w:tcPr>
                  <w:tcW w:type="dxa" w:w="144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bge-reranker-v2-m3</w:t>
                  </w:r>
                </w:p>
              </w:tc>
              <w:tc>
                <w:tcPr>
                  <w:tcW w:type="dxa" w:w="220"/>
                  <w:vMerge/>
                  <w:tcBorders>
                    <w:top w:val="single" w:color="000000" w:sz="4"/>
                    <w:left w:val="single" w:color="000000" w:sz="4"/>
                    <w:bottom w:val="single" w:color="000000" w:sz="4"/>
                    <w:right w:val="single" w:color="000000" w:sz="4"/>
                  </w:tcBorders>
                </w:tcPr>
                <w:p/>
              </w:tc>
            </w:tr>
            <w:tr>
              <w:tc>
                <w:tcPr>
                  <w:tcW w:type="dxa" w:w="210"/>
                  <w:vMerge/>
                  <w:tcBorders>
                    <w:top w:val="single" w:color="000000" w:sz="4"/>
                    <w:left w:val="single" w:color="000000" w:sz="4"/>
                    <w:bottom w:val="single" w:color="000000" w:sz="4"/>
                    <w:right w:val="single" w:color="000000" w:sz="4"/>
                  </w:tcBorders>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导轨</w:t>
                  </w:r>
                </w:p>
              </w:tc>
              <w:tc>
                <w:tcPr>
                  <w:tcW w:type="dxa" w:w="144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服务器上架导轨</w:t>
                  </w:r>
                </w:p>
              </w:tc>
              <w:tc>
                <w:tcPr>
                  <w:tcW w:type="dxa" w:w="220"/>
                  <w:vMerge/>
                  <w:tcBorders>
                    <w:top w:val="single" w:color="000000" w:sz="4"/>
                    <w:left w:val="single" w:color="000000" w:sz="4"/>
                    <w:bottom w:val="single" w:color="000000" w:sz="4"/>
                    <w:right w:val="single" w:color="000000" w:sz="4"/>
                  </w:tcBorders>
                </w:tcPr>
                <w:p/>
              </w:tc>
            </w:tr>
            <w:tr>
              <w:tc>
                <w:tcPr>
                  <w:tcW w:type="dxa" w:w="210"/>
                  <w:vMerge/>
                  <w:tcBorders>
                    <w:top w:val="single" w:color="000000" w:sz="4"/>
                    <w:left w:val="single" w:color="000000" w:sz="4"/>
                    <w:bottom w:val="single" w:color="000000" w:sz="4"/>
                    <w:right w:val="single" w:color="000000" w:sz="4"/>
                  </w:tcBorders>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电源</w:t>
                  </w:r>
                </w:p>
              </w:tc>
              <w:tc>
                <w:tcPr>
                  <w:tcW w:type="dxa" w:w="144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冗余电源</w:t>
                  </w:r>
                </w:p>
              </w:tc>
              <w:tc>
                <w:tcPr>
                  <w:tcW w:type="dxa" w:w="220"/>
                  <w:vMerge/>
                  <w:tcBorders>
                    <w:top w:val="single" w:color="000000" w:sz="4"/>
                    <w:left w:val="single" w:color="000000" w:sz="4"/>
                    <w:bottom w:val="single" w:color="000000" w:sz="4"/>
                    <w:right w:val="single" w:color="000000" w:sz="4"/>
                  </w:tcBorders>
                </w:tc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345" w:after="330"/>
            </w:pPr>
            <w:r>
              <w:rPr>
                <w:rFonts w:ascii="仿宋_GB2312" w:hAnsi="仿宋_GB2312" w:cs="仿宋_GB2312" w:eastAsia="仿宋_GB2312"/>
                <w:sz w:val="28"/>
                <w:b/>
              </w:rPr>
              <w:t>2、项目实施、售后服务及商务要求</w:t>
            </w:r>
          </w:p>
          <w:p>
            <w:pPr>
              <w:pStyle w:val="null3"/>
              <w:spacing w:before="345" w:after="330"/>
            </w:pPr>
            <w:r>
              <w:rPr>
                <w:rFonts w:ascii="仿宋_GB2312" w:hAnsi="仿宋_GB2312" w:cs="仿宋_GB2312" w:eastAsia="仿宋_GB2312"/>
              </w:rPr>
              <w:t xml:space="preserve"> </w:t>
            </w:r>
          </w:p>
          <w:p>
            <w:pPr>
              <w:pStyle w:val="null3"/>
            </w:pPr>
            <w:r>
              <w:rPr>
                <w:rFonts w:ascii="仿宋_GB2312" w:hAnsi="仿宋_GB2312" w:cs="仿宋_GB2312" w:eastAsia="仿宋_GB2312"/>
              </w:rPr>
              <w:t>2.</w:t>
            </w:r>
            <w:r>
              <w:rPr>
                <w:rFonts w:ascii="仿宋_GB2312" w:hAnsi="仿宋_GB2312" w:cs="仿宋_GB2312" w:eastAsia="仿宋_GB2312"/>
                <w:sz w:val="28"/>
                <w:b/>
              </w:rPr>
              <w:t>整体要求</w:t>
            </w:r>
          </w:p>
          <w:p>
            <w:pPr>
              <w:pStyle w:val="null3"/>
              <w:spacing w:before="255" w:after="255"/>
              <w:ind w:left="570"/>
              <w:outlineLvl w:val="1"/>
            </w:pPr>
            <w:r>
              <w:rPr>
                <w:rFonts w:ascii="仿宋_GB2312" w:hAnsi="仿宋_GB2312" w:cs="仿宋_GB2312" w:eastAsia="仿宋_GB2312"/>
                <w:sz w:val="22"/>
                <w:b/>
              </w:rPr>
              <w:t xml:space="preserve">  本项目为交钥匙工程，</w:t>
            </w:r>
            <w:r>
              <w:rPr>
                <w:rFonts w:ascii="仿宋_GB2312" w:hAnsi="仿宋_GB2312" w:cs="仿宋_GB2312" w:eastAsia="仿宋_GB2312"/>
                <w:sz w:val="22"/>
                <w:b/>
              </w:rPr>
              <w:t>中标方</w:t>
            </w:r>
            <w:r>
              <w:rPr>
                <w:rFonts w:ascii="仿宋_GB2312" w:hAnsi="仿宋_GB2312" w:cs="仿宋_GB2312" w:eastAsia="仿宋_GB2312"/>
                <w:sz w:val="22"/>
                <w:b/>
              </w:rPr>
              <w:t>免费提供系统相关接口对接服务及第三方系统接口改造费用，免费提供满足医院电子病历六级、互联互通五级乙等、智慧服务三级的相关内容升级改造服务。在建设和维保期内，如遇国家或上级主管部门政策调整、要求，</w:t>
            </w:r>
            <w:r>
              <w:rPr>
                <w:rFonts w:ascii="仿宋_GB2312" w:hAnsi="仿宋_GB2312" w:cs="仿宋_GB2312" w:eastAsia="仿宋_GB2312"/>
                <w:sz w:val="22"/>
                <w:b/>
              </w:rPr>
              <w:t>中标方</w:t>
            </w:r>
            <w:r>
              <w:rPr>
                <w:rFonts w:ascii="仿宋_GB2312" w:hAnsi="仿宋_GB2312" w:cs="仿宋_GB2312" w:eastAsia="仿宋_GB2312"/>
                <w:sz w:val="22"/>
                <w:b/>
              </w:rPr>
              <w:t>需无偿提供相关接口、技术、开发服务。</w:t>
            </w:r>
          </w:p>
          <w:p>
            <w:pPr>
              <w:pStyle w:val="null3"/>
            </w:pPr>
            <w:r>
              <w:rPr>
                <w:rFonts w:ascii="仿宋_GB2312" w:hAnsi="仿宋_GB2312" w:cs="仿宋_GB2312" w:eastAsia="仿宋_GB2312"/>
              </w:rPr>
              <w:t>2.2</w:t>
            </w:r>
            <w:r>
              <w:rPr>
                <w:rFonts w:ascii="仿宋_GB2312" w:hAnsi="仿宋_GB2312" w:cs="仿宋_GB2312" w:eastAsia="仿宋_GB2312"/>
                <w:sz w:val="28"/>
                <w:b/>
              </w:rPr>
              <w:t>项目工期</w:t>
            </w:r>
          </w:p>
          <w:p>
            <w:pPr>
              <w:pStyle w:val="null3"/>
              <w:ind w:firstLine="480"/>
            </w:pPr>
            <w:r>
              <w:rPr>
                <w:rFonts w:ascii="仿宋_GB2312" w:hAnsi="仿宋_GB2312" w:cs="仿宋_GB2312" w:eastAsia="仿宋_GB2312"/>
                <w:sz w:val="22"/>
              </w:rPr>
              <w:t>自招标结束后中标公司应</w:t>
            </w:r>
            <w:r>
              <w:rPr>
                <w:rFonts w:ascii="仿宋_GB2312" w:hAnsi="仿宋_GB2312" w:cs="仿宋_GB2312" w:eastAsia="仿宋_GB2312"/>
                <w:sz w:val="22"/>
              </w:rPr>
              <w:t>于</w:t>
            </w:r>
            <w:r>
              <w:rPr>
                <w:rFonts w:ascii="仿宋_GB2312" w:hAnsi="仿宋_GB2312" w:cs="仿宋_GB2312" w:eastAsia="仿宋_GB2312"/>
                <w:sz w:val="22"/>
              </w:rPr>
              <w:t>15</w:t>
            </w:r>
            <w:r>
              <w:rPr>
                <w:rFonts w:ascii="仿宋_GB2312" w:hAnsi="仿宋_GB2312" w:cs="仿宋_GB2312" w:eastAsia="仿宋_GB2312"/>
                <w:sz w:val="22"/>
              </w:rPr>
              <w:t>个自然日内完成项目测试环境搭建，根据招标技术要求逐条测试，经采购方确认无误后签订项目合同，若采购方测试过程中确认测试情况与投标响应情况不</w:t>
            </w:r>
            <w:r>
              <w:rPr>
                <w:rFonts w:ascii="仿宋_GB2312" w:hAnsi="仿宋_GB2312" w:cs="仿宋_GB2312" w:eastAsia="仿宋_GB2312"/>
                <w:sz w:val="22"/>
              </w:rPr>
              <w:t>符</w:t>
            </w:r>
            <w:r>
              <w:rPr>
                <w:rFonts w:ascii="仿宋_GB2312" w:hAnsi="仿宋_GB2312" w:cs="仿宋_GB2312" w:eastAsia="仿宋_GB2312"/>
                <w:sz w:val="22"/>
              </w:rPr>
              <w:t>，此次招标将予以废标。</w:t>
            </w:r>
          </w:p>
          <w:p>
            <w:pPr>
              <w:pStyle w:val="null3"/>
              <w:ind w:firstLine="480"/>
            </w:pPr>
            <w:r>
              <w:rPr>
                <w:rFonts w:ascii="仿宋_GB2312" w:hAnsi="仿宋_GB2312" w:cs="仿宋_GB2312" w:eastAsia="仿宋_GB2312"/>
                <w:sz w:val="22"/>
              </w:rPr>
              <w:t>自合同签订起</w:t>
            </w:r>
            <w:r>
              <w:rPr>
                <w:rFonts w:ascii="仿宋_GB2312" w:hAnsi="仿宋_GB2312" w:cs="仿宋_GB2312" w:eastAsia="仿宋_GB2312"/>
                <w:sz w:val="22"/>
              </w:rPr>
              <w:t>12</w:t>
            </w:r>
            <w:r>
              <w:rPr>
                <w:rFonts w:ascii="仿宋_GB2312" w:hAnsi="仿宋_GB2312" w:cs="仿宋_GB2312" w:eastAsia="仿宋_GB2312"/>
                <w:sz w:val="22"/>
              </w:rPr>
              <w:t>个月内完成系统功能需求细化调研、设计开发、功能测试、应用培训、部署上线等工作。</w:t>
            </w:r>
          </w:p>
          <w:p>
            <w:pPr>
              <w:pStyle w:val="null3"/>
            </w:pPr>
            <w:r>
              <w:rPr>
                <w:rFonts w:ascii="仿宋_GB2312" w:hAnsi="仿宋_GB2312" w:cs="仿宋_GB2312" w:eastAsia="仿宋_GB2312"/>
              </w:rPr>
              <w:t>2.3</w:t>
            </w:r>
            <w:r>
              <w:rPr>
                <w:rFonts w:ascii="仿宋_GB2312" w:hAnsi="仿宋_GB2312" w:cs="仿宋_GB2312" w:eastAsia="仿宋_GB2312"/>
                <w:sz w:val="28"/>
                <w:b/>
              </w:rPr>
              <w:t>项目培训</w:t>
            </w:r>
          </w:p>
          <w:p>
            <w:pPr>
              <w:pStyle w:val="null3"/>
              <w:ind w:firstLine="440"/>
            </w:pPr>
            <w:r>
              <w:rPr>
                <w:rFonts w:ascii="仿宋_GB2312" w:hAnsi="仿宋_GB2312" w:cs="仿宋_GB2312" w:eastAsia="仿宋_GB2312"/>
                <w:sz w:val="22"/>
              </w:rPr>
              <w:t>1、培训：培训对象包括系统管理员、医院管理人员、操作员，系统管理人员培训内容为系统中涉及的相关技术内容；医院管理人员培训内容为系统流程和相关管理思想；操作员为系统的操作培训。</w:t>
            </w:r>
          </w:p>
          <w:p>
            <w:pPr>
              <w:pStyle w:val="null3"/>
              <w:ind w:firstLine="440"/>
            </w:pPr>
            <w:r>
              <w:rPr>
                <w:rFonts w:ascii="仿宋_GB2312" w:hAnsi="仿宋_GB2312" w:cs="仿宋_GB2312" w:eastAsia="仿宋_GB2312"/>
                <w:sz w:val="22"/>
              </w:rPr>
              <w:t>2、根据医院的情况制定相关培训方案，课程设置等。包括培训资料、讲义等。</w:t>
            </w:r>
          </w:p>
          <w:p>
            <w:pPr>
              <w:pStyle w:val="null3"/>
              <w:ind w:firstLine="440"/>
            </w:pPr>
            <w:r>
              <w:rPr>
                <w:rFonts w:ascii="仿宋_GB2312" w:hAnsi="仿宋_GB2312" w:cs="仿宋_GB2312" w:eastAsia="仿宋_GB2312"/>
                <w:sz w:val="22"/>
              </w:rPr>
              <w:t>3、所有的培训费用必须计入投标总价。</w:t>
            </w:r>
          </w:p>
          <w:p>
            <w:pPr>
              <w:pStyle w:val="null3"/>
            </w:pPr>
            <w:r>
              <w:rPr>
                <w:rFonts w:ascii="仿宋_GB2312" w:hAnsi="仿宋_GB2312" w:cs="仿宋_GB2312" w:eastAsia="仿宋_GB2312"/>
              </w:rPr>
              <w:t>2.4</w:t>
            </w:r>
            <w:r>
              <w:rPr>
                <w:rFonts w:ascii="仿宋_GB2312" w:hAnsi="仿宋_GB2312" w:cs="仿宋_GB2312" w:eastAsia="仿宋_GB2312"/>
                <w:sz w:val="28"/>
                <w:b/>
              </w:rPr>
              <w:t>售后服务</w:t>
            </w:r>
          </w:p>
          <w:p>
            <w:pPr>
              <w:pStyle w:val="null3"/>
              <w:numPr>
                <w:ilvl w:val="0"/>
                <w:numId w:val="1"/>
              </w:numPr>
            </w:pPr>
            <w:r>
              <w:rPr>
                <w:rFonts w:ascii="仿宋_GB2312" w:hAnsi="仿宋_GB2312" w:cs="仿宋_GB2312" w:eastAsia="仿宋_GB2312"/>
                <w:sz w:val="22"/>
              </w:rPr>
              <w:t>本次项目中涉及的产品须至少自验收之日起提供三</w:t>
            </w:r>
            <w:r>
              <w:rPr>
                <w:rFonts w:ascii="仿宋_GB2312" w:hAnsi="仿宋_GB2312" w:cs="仿宋_GB2312" w:eastAsia="仿宋_GB2312"/>
                <w:sz w:val="22"/>
              </w:rPr>
              <w:t>年</w:t>
            </w:r>
            <w:r>
              <w:rPr>
                <w:rFonts w:ascii="仿宋_GB2312" w:hAnsi="仿宋_GB2312" w:cs="仿宋_GB2312" w:eastAsia="仿宋_GB2312"/>
                <w:sz w:val="22"/>
              </w:rPr>
              <w:t>免费维保服务。</w:t>
            </w:r>
          </w:p>
          <w:p>
            <w:pPr>
              <w:pStyle w:val="null3"/>
              <w:numPr>
                <w:ilvl w:val="0"/>
                <w:numId w:val="1"/>
              </w:numPr>
            </w:pPr>
            <w:r>
              <w:rPr>
                <w:rFonts w:ascii="仿宋_GB2312" w:hAnsi="仿宋_GB2312" w:cs="仿宋_GB2312" w:eastAsia="仿宋_GB2312"/>
                <w:sz w:val="22"/>
              </w:rPr>
              <w:t>投标方应在投标文件中说明在免费维保期内提供的服务计划，维护范围包括（包括但不限于）软件安装，调试、维修，接口、集成、升级等内容。</w:t>
            </w:r>
          </w:p>
          <w:p>
            <w:pPr>
              <w:pStyle w:val="null3"/>
              <w:numPr>
                <w:ilvl w:val="0"/>
                <w:numId w:val="1"/>
              </w:numPr>
            </w:pPr>
            <w:r>
              <w:rPr>
                <w:rFonts w:ascii="仿宋_GB2312" w:hAnsi="仿宋_GB2312" w:cs="仿宋_GB2312" w:eastAsia="仿宋_GB2312"/>
                <w:sz w:val="22"/>
              </w:rPr>
              <w:t>在免费维保期内，投标方应确保系统的正常使用。项目验收后有项目服务组人员驻场，根据实际需要，指定工程技术人员提供技术服务，采取现场支持、远程维护、电话、电子邮件、互联网远程支持等多种服务方式。</w:t>
            </w:r>
          </w:p>
          <w:p>
            <w:pPr>
              <w:pStyle w:val="null3"/>
              <w:numPr>
                <w:ilvl w:val="0"/>
                <w:numId w:val="1"/>
              </w:numPr>
            </w:pPr>
            <w:r>
              <w:rPr>
                <w:rFonts w:ascii="仿宋_GB2312" w:hAnsi="仿宋_GB2312" w:cs="仿宋_GB2312" w:eastAsia="仿宋_GB2312"/>
                <w:sz w:val="22"/>
              </w:rPr>
              <w:t>项目建设及维保期内，软件版本及相关知识库免费升级。</w:t>
            </w:r>
            <w:r>
              <w:rPr>
                <w:rFonts w:ascii="仿宋_GB2312" w:hAnsi="仿宋_GB2312" w:cs="仿宋_GB2312" w:eastAsia="仿宋_GB2312"/>
                <w:sz w:val="22"/>
              </w:rPr>
              <w:t>项目建设及维保期内，软件版本及相关知识库免费升级。</w:t>
            </w:r>
            <w:r>
              <w:rPr>
                <w:rFonts w:ascii="仿宋_GB2312" w:hAnsi="仿宋_GB2312" w:cs="仿宋_GB2312" w:eastAsia="仿宋_GB2312"/>
                <w:sz w:val="22"/>
              </w:rPr>
              <w:t>如遇国家或上级主管部门政策调整、要求，</w:t>
            </w:r>
            <w:r>
              <w:rPr>
                <w:rFonts w:ascii="仿宋_GB2312" w:hAnsi="仿宋_GB2312" w:cs="仿宋_GB2312" w:eastAsia="仿宋_GB2312"/>
                <w:sz w:val="22"/>
              </w:rPr>
              <w:t>中标方</w:t>
            </w:r>
            <w:r>
              <w:rPr>
                <w:rFonts w:ascii="仿宋_GB2312" w:hAnsi="仿宋_GB2312" w:cs="仿宋_GB2312" w:eastAsia="仿宋_GB2312"/>
                <w:sz w:val="22"/>
              </w:rPr>
              <w:t>需无偿提供相关接口、技术、开发服务</w:t>
            </w:r>
            <w:r>
              <w:rPr>
                <w:rFonts w:ascii="仿宋_GB2312" w:hAnsi="仿宋_GB2312" w:cs="仿宋_GB2312" w:eastAsia="仿宋_GB2312"/>
                <w:sz w:val="22"/>
              </w:rPr>
              <w:t>。</w:t>
            </w:r>
          </w:p>
          <w:p>
            <w:pPr>
              <w:pStyle w:val="null3"/>
              <w:numPr>
                <w:ilvl w:val="0"/>
                <w:numId w:val="1"/>
              </w:numPr>
            </w:pPr>
            <w:r>
              <w:rPr>
                <w:rFonts w:ascii="仿宋_GB2312" w:hAnsi="仿宋_GB2312" w:cs="仿宋_GB2312" w:eastAsia="仿宋_GB2312"/>
                <w:sz w:val="22"/>
              </w:rPr>
              <w:t>在免费维保期内，提供全年每周</w:t>
            </w:r>
            <w:r>
              <w:rPr>
                <w:rFonts w:ascii="仿宋_GB2312" w:hAnsi="仿宋_GB2312" w:cs="仿宋_GB2312" w:eastAsia="仿宋_GB2312"/>
                <w:sz w:val="22"/>
              </w:rPr>
              <w:t>7天、每天24小时的全天候服务和每天24小时热线电话服务，包括节假日，电话响应时间不超过30分钟，一级故障处理时间不超过2h，二级故障处理时间不超过3h，三级故障处理时间不超过48h，四级故障处理时间不超过一周。</w:t>
            </w:r>
          </w:p>
          <w:p>
            <w:pPr>
              <w:pStyle w:val="null3"/>
              <w:ind w:left="480"/>
            </w:pPr>
            <w:r>
              <w:rPr>
                <w:rFonts w:ascii="仿宋_GB2312" w:hAnsi="仿宋_GB2312" w:cs="仿宋_GB2312" w:eastAsia="仿宋_GB2312"/>
                <w:sz w:val="22"/>
              </w:rPr>
              <w:t>一级故障：系统停机、数据库故障、服务器瘫痪等，或对正常业务运作有严重影响。</w:t>
            </w:r>
          </w:p>
          <w:p>
            <w:pPr>
              <w:pStyle w:val="null3"/>
              <w:ind w:left="480"/>
            </w:pPr>
            <w:r>
              <w:rPr>
                <w:rFonts w:ascii="仿宋_GB2312" w:hAnsi="仿宋_GB2312" w:cs="仿宋_GB2312" w:eastAsia="仿宋_GB2312"/>
                <w:sz w:val="22"/>
              </w:rPr>
              <w:t>二级故障：系统的操作性能严重下降，或由于系统性能明显下降，使业务运作有影响，系统功能</w:t>
            </w:r>
            <w:r>
              <w:rPr>
                <w:rFonts w:ascii="仿宋_GB2312" w:hAnsi="仿宋_GB2312" w:cs="仿宋_GB2312" w:eastAsia="仿宋_GB2312"/>
                <w:sz w:val="22"/>
              </w:rPr>
              <w:t>bug或日常故障。</w:t>
            </w:r>
          </w:p>
          <w:p>
            <w:pPr>
              <w:pStyle w:val="null3"/>
              <w:ind w:left="480"/>
            </w:pPr>
            <w:r>
              <w:rPr>
                <w:rFonts w:ascii="仿宋_GB2312" w:hAnsi="仿宋_GB2312" w:cs="仿宋_GB2312" w:eastAsia="仿宋_GB2312"/>
                <w:sz w:val="22"/>
              </w:rPr>
              <w:t>三级故障：系统的操作性能下降，但大部分业务运作仍可正常工作。</w:t>
            </w:r>
          </w:p>
          <w:p>
            <w:pPr>
              <w:pStyle w:val="null3"/>
              <w:ind w:left="480"/>
            </w:pPr>
            <w:r>
              <w:rPr>
                <w:rFonts w:ascii="仿宋_GB2312" w:hAnsi="仿宋_GB2312" w:cs="仿宋_GB2312" w:eastAsia="仿宋_GB2312"/>
                <w:sz w:val="22"/>
              </w:rPr>
              <w:t>四级故障：软件功能、硬件更换、接口对接或其他需要时间修改的问题。</w:t>
            </w:r>
          </w:p>
          <w:p>
            <w:pPr>
              <w:pStyle w:val="null3"/>
              <w:numPr>
                <w:ilvl w:val="0"/>
                <w:numId w:val="1"/>
              </w:numPr>
            </w:pPr>
            <w:r>
              <w:rPr>
                <w:rFonts w:ascii="仿宋_GB2312" w:hAnsi="仿宋_GB2312" w:cs="仿宋_GB2312" w:eastAsia="仿宋_GB2312"/>
                <w:sz w:val="22"/>
              </w:rPr>
              <w:t>项目验收合格后，每年不低于</w:t>
            </w:r>
            <w:r>
              <w:rPr>
                <w:rFonts w:ascii="仿宋_GB2312" w:hAnsi="仿宋_GB2312" w:cs="仿宋_GB2312" w:eastAsia="仿宋_GB2312"/>
                <w:sz w:val="22"/>
              </w:rPr>
              <w:t>4次的例行维护及巡检。例行维护内容包括：软件的功能增强性维护等应用软件系统扩充升级（其中包括系统维护、跟踪检测），保证投标方所产品的正常运行。</w:t>
            </w:r>
          </w:p>
          <w:p>
            <w:pPr>
              <w:pStyle w:val="null3"/>
              <w:numPr>
                <w:ilvl w:val="0"/>
                <w:numId w:val="1"/>
              </w:numPr>
            </w:pPr>
            <w:r>
              <w:rPr>
                <w:rFonts w:ascii="仿宋_GB2312" w:hAnsi="仿宋_GB2312" w:cs="仿宋_GB2312" w:eastAsia="仿宋_GB2312"/>
                <w:sz w:val="22"/>
              </w:rPr>
              <w:t>免费维保期满后，另签维保协议。每年的维保服务费不高于合同额的</w:t>
            </w:r>
            <w:r>
              <w:rPr>
                <w:rFonts w:ascii="仿宋_GB2312" w:hAnsi="仿宋_GB2312" w:cs="仿宋_GB2312" w:eastAsia="仿宋_GB2312"/>
                <w:sz w:val="22"/>
              </w:rPr>
              <w:t>5%。</w:t>
            </w:r>
          </w:p>
          <w:p>
            <w:pPr>
              <w:pStyle w:val="null3"/>
              <w:numPr>
                <w:ilvl w:val="0"/>
                <w:numId w:val="1"/>
              </w:numPr>
            </w:pPr>
            <w:r>
              <w:rPr>
                <w:rFonts w:ascii="仿宋_GB2312" w:hAnsi="仿宋_GB2312" w:cs="仿宋_GB2312" w:eastAsia="仿宋_GB2312"/>
                <w:sz w:val="22"/>
              </w:rPr>
              <w:t>项目验收之日起为项目</w:t>
            </w:r>
            <w:r>
              <w:rPr>
                <w:rFonts w:ascii="仿宋_GB2312" w:hAnsi="仿宋_GB2312" w:cs="仿宋_GB2312" w:eastAsia="仿宋_GB2312"/>
                <w:sz w:val="22"/>
              </w:rPr>
              <w:t>免费维护</w:t>
            </w:r>
            <w:r>
              <w:rPr>
                <w:rFonts w:ascii="仿宋_GB2312" w:hAnsi="仿宋_GB2312" w:cs="仿宋_GB2312" w:eastAsia="仿宋_GB2312"/>
                <w:sz w:val="22"/>
              </w:rPr>
              <w:t>期，</w:t>
            </w:r>
            <w:r>
              <w:rPr>
                <w:rFonts w:ascii="仿宋_GB2312" w:hAnsi="仿宋_GB2312" w:cs="仿宋_GB2312" w:eastAsia="仿宋_GB2312"/>
                <w:sz w:val="22"/>
              </w:rPr>
              <w:t>期间内，</w:t>
            </w:r>
            <w:r>
              <w:rPr>
                <w:rFonts w:ascii="仿宋_GB2312" w:hAnsi="仿宋_GB2312" w:cs="仿宋_GB2312" w:eastAsia="仿宋_GB2312"/>
                <w:sz w:val="22"/>
              </w:rPr>
              <w:t>采购方根据售后服务考核情况，</w:t>
            </w:r>
            <w:r>
              <w:rPr>
                <w:rFonts w:ascii="仿宋_GB2312" w:hAnsi="仿宋_GB2312" w:cs="仿宋_GB2312" w:eastAsia="仿宋_GB2312"/>
                <w:sz w:val="22"/>
              </w:rPr>
              <w:t>因</w:t>
            </w:r>
            <w:r>
              <w:rPr>
                <w:rFonts w:ascii="仿宋_GB2312" w:hAnsi="仿宋_GB2312" w:cs="仿宋_GB2312" w:eastAsia="仿宋_GB2312"/>
                <w:sz w:val="22"/>
              </w:rPr>
              <w:t>中标方服务考核不</w:t>
            </w:r>
            <w:r>
              <w:rPr>
                <w:rFonts w:ascii="仿宋_GB2312" w:hAnsi="仿宋_GB2312" w:cs="仿宋_GB2312" w:eastAsia="仿宋_GB2312"/>
                <w:sz w:val="22"/>
              </w:rPr>
              <w:t>合格，采购方有权扣除合同款最高</w:t>
            </w:r>
            <w:r>
              <w:rPr>
                <w:rFonts w:ascii="仿宋_GB2312" w:hAnsi="仿宋_GB2312" w:cs="仿宋_GB2312" w:eastAsia="仿宋_GB2312"/>
                <w:sz w:val="22"/>
              </w:rPr>
              <w:t>10%作为违约金</w:t>
            </w:r>
            <w:r>
              <w:rPr>
                <w:rFonts w:ascii="仿宋_GB2312" w:hAnsi="仿宋_GB2312" w:cs="仿宋_GB2312" w:eastAsia="仿宋_GB2312"/>
                <w:sz w:val="22"/>
              </w:rPr>
              <w:t>。</w:t>
            </w:r>
          </w:p>
          <w:p>
            <w:pPr>
              <w:pStyle w:val="null3"/>
              <w:ind w:firstLine="440"/>
              <w:jc w:val="both"/>
            </w:pPr>
            <w:r>
              <w:rPr>
                <w:rFonts w:ascii="仿宋_GB2312" w:hAnsi="仿宋_GB2312" w:cs="仿宋_GB2312" w:eastAsia="仿宋_GB2312"/>
                <w:sz w:val="22"/>
              </w:rPr>
              <w:t>服务考核办法：</w:t>
            </w:r>
          </w:p>
          <w:p>
            <w:pPr>
              <w:pStyle w:val="null3"/>
              <w:ind w:firstLine="440"/>
              <w:jc w:val="both"/>
            </w:pPr>
            <w:r>
              <w:rPr>
                <w:rFonts w:ascii="仿宋_GB2312" w:hAnsi="仿宋_GB2312" w:cs="仿宋_GB2312" w:eastAsia="仿宋_GB2312"/>
                <w:sz w:val="22"/>
              </w:rPr>
              <w:t>1</w:t>
            </w:r>
            <w:r>
              <w:rPr>
                <w:rFonts w:ascii="仿宋_GB2312" w:hAnsi="仿宋_GB2312" w:cs="仿宋_GB2312" w:eastAsia="仿宋_GB2312"/>
                <w:sz w:val="22"/>
              </w:rPr>
              <w:t>）考核内容包括考勤、</w:t>
            </w:r>
            <w:r>
              <w:rPr>
                <w:rFonts w:ascii="仿宋_GB2312" w:hAnsi="仿宋_GB2312" w:cs="仿宋_GB2312" w:eastAsia="仿宋_GB2312"/>
                <w:sz w:val="22"/>
              </w:rPr>
              <w:t>项目文档资料</w:t>
            </w:r>
            <w:r>
              <w:rPr>
                <w:rFonts w:ascii="仿宋_GB2312" w:hAnsi="仿宋_GB2312" w:cs="仿宋_GB2312" w:eastAsia="仿宋_GB2312"/>
                <w:sz w:val="22"/>
              </w:rPr>
              <w:t>、系统软硬件事故</w:t>
            </w:r>
            <w:r>
              <w:rPr>
                <w:rFonts w:ascii="仿宋_GB2312" w:hAnsi="仿宋_GB2312" w:cs="仿宋_GB2312" w:eastAsia="仿宋_GB2312"/>
                <w:sz w:val="22"/>
              </w:rPr>
              <w:t>记录</w:t>
            </w:r>
            <w:r>
              <w:rPr>
                <w:rFonts w:ascii="仿宋_GB2312" w:hAnsi="仿宋_GB2312" w:cs="仿宋_GB2312" w:eastAsia="仿宋_GB2312"/>
                <w:sz w:val="22"/>
              </w:rPr>
              <w:t>、使用科室投诉</w:t>
            </w:r>
            <w:r>
              <w:rPr>
                <w:rFonts w:ascii="仿宋_GB2312" w:hAnsi="仿宋_GB2312" w:cs="仿宋_GB2312" w:eastAsia="仿宋_GB2312"/>
                <w:sz w:val="22"/>
              </w:rPr>
              <w:t>四</w:t>
            </w:r>
            <w:r>
              <w:rPr>
                <w:rFonts w:ascii="仿宋_GB2312" w:hAnsi="仿宋_GB2312" w:cs="仿宋_GB2312" w:eastAsia="仿宋_GB2312"/>
                <w:sz w:val="22"/>
              </w:rPr>
              <w:t>部分；</w:t>
            </w:r>
          </w:p>
          <w:p>
            <w:pPr>
              <w:pStyle w:val="null3"/>
              <w:ind w:firstLine="440"/>
              <w:jc w:val="both"/>
            </w:pPr>
            <w:r>
              <w:rPr>
                <w:rFonts w:ascii="仿宋_GB2312" w:hAnsi="仿宋_GB2312" w:cs="仿宋_GB2312" w:eastAsia="仿宋_GB2312"/>
                <w:sz w:val="22"/>
              </w:rPr>
              <w:t>2</w:t>
            </w:r>
            <w:r>
              <w:rPr>
                <w:rFonts w:ascii="仿宋_GB2312" w:hAnsi="仿宋_GB2312" w:cs="仿宋_GB2312" w:eastAsia="仿宋_GB2312"/>
                <w:sz w:val="22"/>
              </w:rPr>
              <w:t>）考勤指中标方运维团队或巡检团队，未能于计划规定时间内到岗或迟到或早退。需注明缺岗几人几次。每一人次，扣除考核分</w:t>
            </w:r>
            <w:r>
              <w:rPr>
                <w:rFonts w:ascii="仿宋_GB2312" w:hAnsi="仿宋_GB2312" w:cs="仿宋_GB2312" w:eastAsia="仿宋_GB2312"/>
                <w:sz w:val="22"/>
              </w:rPr>
              <w:t>1</w:t>
            </w:r>
            <w:r>
              <w:rPr>
                <w:rFonts w:ascii="仿宋_GB2312" w:hAnsi="仿宋_GB2312" w:cs="仿宋_GB2312" w:eastAsia="仿宋_GB2312"/>
                <w:sz w:val="22"/>
              </w:rPr>
              <w:t>分。未能于计划规定时间内迟到或早退，需注明几人几次，每一人次扣除考核分</w:t>
            </w:r>
            <w:r>
              <w:rPr>
                <w:rFonts w:ascii="仿宋_GB2312" w:hAnsi="仿宋_GB2312" w:cs="仿宋_GB2312" w:eastAsia="仿宋_GB2312"/>
                <w:sz w:val="22"/>
              </w:rPr>
              <w:t>0.5</w:t>
            </w:r>
            <w:r>
              <w:rPr>
                <w:rFonts w:ascii="仿宋_GB2312" w:hAnsi="仿宋_GB2312" w:cs="仿宋_GB2312" w:eastAsia="仿宋_GB2312"/>
                <w:sz w:val="22"/>
              </w:rPr>
              <w:t>分；</w:t>
            </w:r>
          </w:p>
          <w:p>
            <w:pPr>
              <w:pStyle w:val="null3"/>
              <w:ind w:firstLine="440"/>
              <w:jc w:val="both"/>
            </w:pP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项目文档资料</w:t>
            </w:r>
            <w:r>
              <w:rPr>
                <w:rFonts w:ascii="仿宋_GB2312" w:hAnsi="仿宋_GB2312" w:cs="仿宋_GB2312" w:eastAsia="仿宋_GB2312"/>
                <w:sz w:val="22"/>
              </w:rPr>
              <w:t>不真实、不及时、不完整、缺失的扣除考核分</w:t>
            </w:r>
            <w:r>
              <w:rPr>
                <w:rFonts w:ascii="仿宋_GB2312" w:hAnsi="仿宋_GB2312" w:cs="仿宋_GB2312" w:eastAsia="仿宋_GB2312"/>
                <w:sz w:val="22"/>
              </w:rPr>
              <w:t>1</w:t>
            </w:r>
            <w:r>
              <w:rPr>
                <w:rFonts w:ascii="仿宋_GB2312" w:hAnsi="仿宋_GB2312" w:cs="仿宋_GB2312" w:eastAsia="仿宋_GB2312"/>
                <w:sz w:val="22"/>
              </w:rPr>
              <w:t>分；</w:t>
            </w:r>
          </w:p>
          <w:p>
            <w:pPr>
              <w:pStyle w:val="null3"/>
              <w:ind w:firstLine="440"/>
              <w:jc w:val="both"/>
            </w:pPr>
            <w:r>
              <w:rPr>
                <w:rFonts w:ascii="仿宋_GB2312" w:hAnsi="仿宋_GB2312" w:cs="仿宋_GB2312" w:eastAsia="仿宋_GB2312"/>
                <w:sz w:val="22"/>
              </w:rPr>
              <w:t>4</w:t>
            </w:r>
            <w:r>
              <w:rPr>
                <w:rFonts w:ascii="仿宋_GB2312" w:hAnsi="仿宋_GB2312" w:cs="仿宋_GB2312" w:eastAsia="仿宋_GB2312"/>
                <w:sz w:val="22"/>
              </w:rPr>
              <w:t>）系统软硬件事故</w:t>
            </w:r>
            <w:r>
              <w:rPr>
                <w:rFonts w:ascii="仿宋_GB2312" w:hAnsi="仿宋_GB2312" w:cs="仿宋_GB2312" w:eastAsia="仿宋_GB2312"/>
                <w:sz w:val="22"/>
              </w:rPr>
              <w:t>记录：</w:t>
            </w:r>
            <w:r>
              <w:rPr>
                <w:rFonts w:ascii="仿宋_GB2312" w:hAnsi="仿宋_GB2312" w:cs="仿宋_GB2312" w:eastAsia="仿宋_GB2312"/>
                <w:sz w:val="22"/>
              </w:rPr>
              <w:t>一级故障</w:t>
            </w:r>
            <w:r>
              <w:rPr>
                <w:rFonts w:ascii="仿宋_GB2312" w:hAnsi="仿宋_GB2312" w:cs="仿宋_GB2312" w:eastAsia="仿宋_GB2312"/>
                <w:sz w:val="22"/>
              </w:rPr>
              <w:t>处理未满足时效性要求，扣除考核分</w:t>
            </w:r>
            <w:r>
              <w:rPr>
                <w:rFonts w:ascii="仿宋_GB2312" w:hAnsi="仿宋_GB2312" w:cs="仿宋_GB2312" w:eastAsia="仿宋_GB2312"/>
                <w:sz w:val="22"/>
              </w:rPr>
              <w:t>10分；</w:t>
            </w:r>
            <w:r>
              <w:rPr>
                <w:rFonts w:ascii="仿宋_GB2312" w:hAnsi="仿宋_GB2312" w:cs="仿宋_GB2312" w:eastAsia="仿宋_GB2312"/>
                <w:sz w:val="22"/>
              </w:rPr>
              <w:t>二</w:t>
            </w:r>
            <w:r>
              <w:rPr>
                <w:rFonts w:ascii="仿宋_GB2312" w:hAnsi="仿宋_GB2312" w:cs="仿宋_GB2312" w:eastAsia="仿宋_GB2312"/>
                <w:sz w:val="22"/>
              </w:rPr>
              <w:t>级故障</w:t>
            </w:r>
            <w:r>
              <w:rPr>
                <w:rFonts w:ascii="仿宋_GB2312" w:hAnsi="仿宋_GB2312" w:cs="仿宋_GB2312" w:eastAsia="仿宋_GB2312"/>
                <w:sz w:val="22"/>
              </w:rPr>
              <w:t>处理未满足时效性要求，扣除考核分</w:t>
            </w:r>
            <w:r>
              <w:rPr>
                <w:rFonts w:ascii="仿宋_GB2312" w:hAnsi="仿宋_GB2312" w:cs="仿宋_GB2312" w:eastAsia="仿宋_GB2312"/>
                <w:sz w:val="22"/>
              </w:rPr>
              <w:t>5分；</w:t>
            </w:r>
            <w:r>
              <w:rPr>
                <w:rFonts w:ascii="仿宋_GB2312" w:hAnsi="仿宋_GB2312" w:cs="仿宋_GB2312" w:eastAsia="仿宋_GB2312"/>
                <w:sz w:val="22"/>
              </w:rPr>
              <w:t>三</w:t>
            </w:r>
            <w:r>
              <w:rPr>
                <w:rFonts w:ascii="仿宋_GB2312" w:hAnsi="仿宋_GB2312" w:cs="仿宋_GB2312" w:eastAsia="仿宋_GB2312"/>
                <w:sz w:val="22"/>
              </w:rPr>
              <w:t>级故障</w:t>
            </w:r>
            <w:r>
              <w:rPr>
                <w:rFonts w:ascii="仿宋_GB2312" w:hAnsi="仿宋_GB2312" w:cs="仿宋_GB2312" w:eastAsia="仿宋_GB2312"/>
                <w:sz w:val="22"/>
              </w:rPr>
              <w:t>处理未满足时效性要求，扣除考核分</w:t>
            </w:r>
            <w:r>
              <w:rPr>
                <w:rFonts w:ascii="仿宋_GB2312" w:hAnsi="仿宋_GB2312" w:cs="仿宋_GB2312" w:eastAsia="仿宋_GB2312"/>
                <w:sz w:val="22"/>
              </w:rPr>
              <w:t>3分；</w:t>
            </w:r>
            <w:r>
              <w:rPr>
                <w:rFonts w:ascii="仿宋_GB2312" w:hAnsi="仿宋_GB2312" w:cs="仿宋_GB2312" w:eastAsia="仿宋_GB2312"/>
                <w:sz w:val="22"/>
              </w:rPr>
              <w:t>四</w:t>
            </w:r>
            <w:r>
              <w:rPr>
                <w:rFonts w:ascii="仿宋_GB2312" w:hAnsi="仿宋_GB2312" w:cs="仿宋_GB2312" w:eastAsia="仿宋_GB2312"/>
                <w:sz w:val="22"/>
              </w:rPr>
              <w:t>级故障</w:t>
            </w:r>
            <w:r>
              <w:rPr>
                <w:rFonts w:ascii="仿宋_GB2312" w:hAnsi="仿宋_GB2312" w:cs="仿宋_GB2312" w:eastAsia="仿宋_GB2312"/>
                <w:sz w:val="22"/>
              </w:rPr>
              <w:t>处理未满足时效性要求，扣除考核分</w:t>
            </w:r>
            <w:r>
              <w:rPr>
                <w:rFonts w:ascii="仿宋_GB2312" w:hAnsi="仿宋_GB2312" w:cs="仿宋_GB2312" w:eastAsia="仿宋_GB2312"/>
                <w:sz w:val="22"/>
              </w:rPr>
              <w:t>2分；</w:t>
            </w:r>
          </w:p>
          <w:p>
            <w:pPr>
              <w:pStyle w:val="null3"/>
              <w:ind w:firstLine="440"/>
              <w:jc w:val="both"/>
            </w:pPr>
            <w:r>
              <w:rPr>
                <w:rFonts w:ascii="仿宋_GB2312" w:hAnsi="仿宋_GB2312" w:cs="仿宋_GB2312" w:eastAsia="仿宋_GB2312"/>
                <w:sz w:val="22"/>
              </w:rPr>
              <w:t>5</w:t>
            </w:r>
            <w:r>
              <w:rPr>
                <w:rFonts w:ascii="仿宋_GB2312" w:hAnsi="仿宋_GB2312" w:cs="仿宋_GB2312" w:eastAsia="仿宋_GB2312"/>
                <w:sz w:val="22"/>
              </w:rPr>
              <w:t>）使用科室有一条投诉记录，扣除考核分</w:t>
            </w:r>
            <w:r>
              <w:rPr>
                <w:rFonts w:ascii="仿宋_GB2312" w:hAnsi="仿宋_GB2312" w:cs="仿宋_GB2312" w:eastAsia="仿宋_GB2312"/>
                <w:sz w:val="22"/>
              </w:rPr>
              <w:t>5</w:t>
            </w:r>
            <w:r>
              <w:rPr>
                <w:rFonts w:ascii="仿宋_GB2312" w:hAnsi="仿宋_GB2312" w:cs="仿宋_GB2312" w:eastAsia="仿宋_GB2312"/>
                <w:sz w:val="22"/>
              </w:rPr>
              <w:t>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供应商须派驻至少2名专职工程师进行本次项目需求细化调研、设计开发、功能测试、应用培训、部署上线、系统配置、数据准备等实施工作。</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具有履行合同所必需的设备和专业技术能力</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自合同签订起12个月内完成系统功能需求细化调研、设计开发、功能测试、应用培训、部署上线等工作。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延安大学附属医院、心脑血管病医院、妇女儿童医院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1、采购人对成交供应商提供的产品在使用前进行调试时，成交供应商需负责安装并培训采购人的使用操作人员，并协助采购人一起调试，直到符合技术要求，采购人才做最终验收。 2、验收时采购方、成交供应商等项目相关方都须在场，验收完毕后，出具验收结果报告。 3、交付文档验收要求： 项目的工作内容及成果文档的提交应覆盖以下内容，电子文档是成果不可分割的部分。 （1）系统的体系架构及描述。 （2）提供的其它技术手册，包括：《总体设计报告》；需求分析报告（含软件功能需求与数据要求）；《详细设计说明书》；《数据字典》；《接口文档》；系统实施确认书；软件培训资料；《系统运行维护手册》；程序安装维护手册；软件使用操作手册；项目验收报告等。 （3）符合采购人项目管理要求，提交相应项目资料。</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项目硬件到货后，采购方组织相关人员进行硬件到货验收，成交方向采购方提供发票及付款申请双方签名确认无误</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项目系统上线正常运行一个月且符合合同、采购文件、响应文件及实施计划的技术要求，采购方组织相关人员进行项目系统验收，双方签名确认验收报告后，成交方向采购方提供发票及付款申请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双方约定项目系统上线正常运行三年后且符合合同、采购文件、响应文件及实施计划的技术要求，成交方向采购方提交付款申请，采购方收到付款申请后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服务质量标准：达到国家或行业现行合格标准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本项目非专门面向中小企业采购</w:t>
            </w:r>
          </w:p>
        </w:tc>
        <w:tc>
          <w:tcPr>
            <w:tcW w:type="dxa" w:w="3322"/>
          </w:tcPr>
          <w:p>
            <w:pPr>
              <w:pStyle w:val="null3"/>
            </w:pPr>
            <w:r>
              <w:rPr>
                <w:rFonts w:ascii="仿宋_GB2312" w:hAnsi="仿宋_GB2312" w:cs="仿宋_GB2312" w:eastAsia="仿宋_GB2312"/>
              </w:rPr>
              <w:t>本项目非专门面向中小企业采购，供应商如为中型、小型、微型企业，并提供《中小企业声明函》（采购标的对应所属行业为软件和信息技术服务业，声明函格式按照《政府采购促进中小企业发展管理办法》（财库〔2020〕46号）要求提供）</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具有独立承担民事责任能力的法人或其他组织，提供合法有效的统一社会信用代码的营业执照或事业单位法人证书等国家规定的相关证明，自然人参与的提供其身份证明；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银行开户</w:t>
            </w:r>
          </w:p>
        </w:tc>
        <w:tc>
          <w:tcPr>
            <w:tcW w:type="dxa" w:w="3322"/>
          </w:tcPr>
          <w:p>
            <w:pPr>
              <w:pStyle w:val="null3"/>
            </w:pPr>
            <w:r>
              <w:rPr>
                <w:rFonts w:ascii="仿宋_GB2312" w:hAnsi="仿宋_GB2312" w:cs="仿宋_GB2312" w:eastAsia="仿宋_GB2312"/>
              </w:rPr>
              <w:t>银行开户许可证或开户行基本信息</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法定代表人授权书（附法定代表人身份证复印件）及被授权人身份证（法定代表人直接参加须提供法定代表人身份证明及法定代表人身份证复印件）；</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提供2024年度经审计完整的财务审计报告（成立时间至提交响应文件截止时间不足一年的可提供成立后任意时段的资产负债表）或三个月内其基本存款账户开户银行出具的资信证明；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提供截止磋商时间近一年内任意一个月已缴纳的纳税证明或完税证明，依法免税的供应商应提供相关文件证明；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提供截止磋商时间近一年内任意一个月的社会保障资金缴存证明或社保机构开具的社会保险参保缴费情况证明；依法不需要缴纳社会保障资金的应提供相关文件证明；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信用信誉</w:t>
            </w:r>
          </w:p>
        </w:tc>
        <w:tc>
          <w:tcPr>
            <w:tcW w:type="dxa" w:w="3322"/>
          </w:tcPr>
          <w:p>
            <w:pPr>
              <w:pStyle w:val="null3"/>
            </w:pPr>
            <w:r>
              <w:rPr>
                <w:rFonts w:ascii="仿宋_GB2312" w:hAnsi="仿宋_GB2312" w:cs="仿宋_GB2312" w:eastAsia="仿宋_GB2312"/>
              </w:rPr>
              <w:t>供应商未被列入“信用中国”网站中重大税收违法失信主体名单、“中国执行信息公开网”网站失信被执行人、中国政府采购网政府采购严重违法失信行为记录名单中被财政部门禁止参加政府采购活动的供应商；参加政府采购活动近三年内，在经营活动中没有重大违法记录声明函；</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单位负责人为同一人或者存在直接控股、管理关系的不同供应商，不得参加本次采购活动</w:t>
            </w:r>
          </w:p>
        </w:tc>
        <w:tc>
          <w:tcPr>
            <w:tcW w:type="dxa" w:w="1661"/>
          </w:tcPr>
          <w:p>
            <w:pPr>
              <w:pStyle w:val="null3"/>
            </w:pPr>
            <w:r>
              <w:rPr>
                <w:rFonts w:ascii="仿宋_GB2312" w:hAnsi="仿宋_GB2312" w:cs="仿宋_GB2312" w:eastAsia="仿宋_GB2312"/>
              </w:rPr>
              <w:t>资格证明文件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符合采购文件的实质性要求</w:t>
            </w:r>
          </w:p>
        </w:tc>
        <w:tc>
          <w:tcPr>
            <w:tcW w:type="dxa" w:w="3322"/>
          </w:tcPr>
          <w:p>
            <w:pPr>
              <w:pStyle w:val="null3"/>
            </w:pPr>
            <w:r>
              <w:rPr>
                <w:rFonts w:ascii="仿宋_GB2312" w:hAnsi="仿宋_GB2312" w:cs="仿宋_GB2312" w:eastAsia="仿宋_GB2312"/>
              </w:rPr>
              <w:t>供应商按照采购文件要求上传响应文件并进行电子签章</w:t>
            </w:r>
          </w:p>
        </w:tc>
        <w:tc>
          <w:tcPr>
            <w:tcW w:type="dxa" w:w="1661"/>
          </w:tcPr>
          <w:p>
            <w:pPr>
              <w:pStyle w:val="null3"/>
            </w:pPr>
            <w:r>
              <w:rPr>
                <w:rFonts w:ascii="仿宋_GB2312" w:hAnsi="仿宋_GB2312" w:cs="仿宋_GB2312" w:eastAsia="仿宋_GB2312"/>
              </w:rPr>
              <w:t>人员配备 售后服务方案 技术偏离表 磋商保证金 中小企业声明函 业绩 供应商认为有必要说明的其他问题 报价表 项目理解及分析 响应文件封面 资格证明文件 质量保证措施 项目进度计划与措施 商务偏离表 培训方案 残疾人福利性单位声明函 组织管理措施 标的清单 技术参数响应 供应商承诺书 响应函 监狱企业的证明文件 实施方案</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均符合采购文件要求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响应文件的语言及计量单位</w:t>
            </w:r>
          </w:p>
        </w:tc>
        <w:tc>
          <w:tcPr>
            <w:tcW w:type="dxa" w:w="3322"/>
          </w:tcPr>
          <w:p>
            <w:pPr>
              <w:pStyle w:val="null3"/>
            </w:pPr>
            <w:r>
              <w:rPr>
                <w:rFonts w:ascii="仿宋_GB2312" w:hAnsi="仿宋_GB2312" w:cs="仿宋_GB2312" w:eastAsia="仿宋_GB2312"/>
              </w:rPr>
              <w:t>均符合采购文件要求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服务质量</w:t>
            </w:r>
          </w:p>
        </w:tc>
        <w:tc>
          <w:tcPr>
            <w:tcW w:type="dxa" w:w="3322"/>
          </w:tcPr>
          <w:p>
            <w:pPr>
              <w:pStyle w:val="null3"/>
            </w:pPr>
            <w:r>
              <w:rPr>
                <w:rFonts w:ascii="仿宋_GB2312" w:hAnsi="仿宋_GB2312" w:cs="仿宋_GB2312" w:eastAsia="仿宋_GB2312"/>
              </w:rPr>
              <w:t>均符合采购文件要求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均符合采购文件要求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均符合采购文件要求</w:t>
            </w:r>
          </w:p>
        </w:tc>
        <w:tc>
          <w:tcPr>
            <w:tcW w:type="dxa" w:w="1661"/>
          </w:tcPr>
          <w:p>
            <w:pPr>
              <w:pStyle w:val="null3"/>
            </w:pPr>
            <w:r>
              <w:rPr>
                <w:rFonts w:ascii="仿宋_GB2312" w:hAnsi="仿宋_GB2312" w:cs="仿宋_GB2312" w:eastAsia="仿宋_GB2312"/>
              </w:rPr>
              <w:t>磋商保证金</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供应商根据采购文件中技术参数提供相应的演示截图或证明资料，完全响应或优于采购文件要求得20分。带“*”技术参数为重要参数，每有一项负偏离减2分，其他项为普通技术参数，每有一项负偏离减1分，减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技术参数响应</w:t>
            </w:r>
          </w:p>
          <w:p>
            <w:pPr>
              <w:pStyle w:val="null3"/>
            </w:pPr>
            <w:r>
              <w:rPr>
                <w:rFonts w:ascii="仿宋_GB2312" w:hAnsi="仿宋_GB2312" w:cs="仿宋_GB2312" w:eastAsia="仿宋_GB2312"/>
              </w:rPr>
              <w:t>技术偏离表</w:t>
            </w:r>
          </w:p>
        </w:tc>
      </w:tr>
      <w:tr>
        <w:tc>
          <w:tcPr>
            <w:tcW w:type="dxa" w:w="831"/>
            <w:vMerge/>
          </w:tcPr>
          <w:p/>
        </w:tc>
        <w:tc>
          <w:tcPr>
            <w:tcW w:type="dxa" w:w="1661"/>
          </w:tcPr>
          <w:p>
            <w:pPr>
              <w:pStyle w:val="null3"/>
            </w:pPr>
            <w:r>
              <w:rPr>
                <w:rFonts w:ascii="仿宋_GB2312" w:hAnsi="仿宋_GB2312" w:cs="仿宋_GB2312" w:eastAsia="仿宋_GB2312"/>
              </w:rPr>
              <w:t>项目理解及分析</w:t>
            </w:r>
          </w:p>
        </w:tc>
        <w:tc>
          <w:tcPr>
            <w:tcW w:type="dxa" w:w="2492"/>
          </w:tcPr>
          <w:p>
            <w:pPr>
              <w:pStyle w:val="null3"/>
            </w:pPr>
            <w:r>
              <w:rPr>
                <w:rFonts w:ascii="仿宋_GB2312" w:hAnsi="仿宋_GB2312" w:cs="仿宋_GB2312" w:eastAsia="仿宋_GB2312"/>
              </w:rPr>
              <w:t>一、评审内容 供应商根据本项目特点提出理解及分析方案，内容包括：①项目背景与意义②项目发展需求③项目重难点分析。 二、评审标准 1.完整性：方案内容全面，有详细描述及其他内容的补充； 2.符合性：符合项目实际特点，合理、恰当； 3.针对性：切合本项目实际情况，叙述清楚，符合客观实际情况； 三、赋分标准（满分9分） ①项目背景与意义：每完全满足一个评审标准得 1分，满分3分； ②项目目标与内容：每完全满足一个评审标准得 1分，满分 3分； ③项目预期效果：每完全满足一个评审标准得 1分，满分 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项目理解及分析</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供应商根据本项目特点提出项目的总体实施方案，内容包括：①项目编制的特点②关键技术问题的认识③关键技术问题的对策措施。 二、评审标准 1.完整性：方案内容全面，有详细描述及其他内容的补充； 2.符合性：符合项目实际特点，合理、恰当； 3.针对性：切合本项目实际情况，叙述清楚，符合客观实际情况； 三、赋分标准（满分 9分） ①项目编制的特点：每完全满足一个评审标准得1分，满分 3分； ②关键技术问题的认识：每完全满足一个评审标准得1分，满分 3分； ③关键技术问题的对策措施：每完全满足一个评审标准得1分，满分 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项目进度计划与措施</w:t>
            </w:r>
          </w:p>
        </w:tc>
        <w:tc>
          <w:tcPr>
            <w:tcW w:type="dxa" w:w="2492"/>
          </w:tcPr>
          <w:p>
            <w:pPr>
              <w:pStyle w:val="null3"/>
            </w:pPr>
            <w:r>
              <w:rPr>
                <w:rFonts w:ascii="仿宋_GB2312" w:hAnsi="仿宋_GB2312" w:cs="仿宋_GB2312" w:eastAsia="仿宋_GB2312"/>
              </w:rPr>
              <w:t>一、评审内容 供应商根据本项目特点提出项目进度计划与措施，内容包括：①项目进度计划②计划保障措施③关键时间节点把握的情况。 二、评审标准 1.完整性：方案内容全面，有详细描述及其他内容的补充； 2.符合性：符合项目实际特点，合理、恰当； 三、赋分标准（满分 9分） ①项目进度计划：每完全满足一个评审标准得 1.5分，满分3分； ②计划保障措施：每完全满足一个评审标准得 1.5分，满分3分； ③关键时间节点把握的情况：每完全满足一个评审标准得 1.5分，满分3分；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项目进度计划与措施</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供应商根据本项目特点提出质量保证措施，内容包括：①质量控制方案②质量体系建设。 二、评审标准 1.完整性：方案内容全面，有详细描述及其他内容的补充； 2.符合性：符合项目实际特点，合理、恰当； 三、赋分标准（满分 8分） ①质量控制方案：每完全满足一个评审标准得2分，满分4分； ②质量体系建设：每完全满足一个评审标准得2分，满分 4分；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w:t>
            </w:r>
          </w:p>
        </w:tc>
      </w:tr>
      <w:tr>
        <w:tc>
          <w:tcPr>
            <w:tcW w:type="dxa" w:w="831"/>
            <w:vMerge/>
          </w:tcPr>
          <w:p/>
        </w:tc>
        <w:tc>
          <w:tcPr>
            <w:tcW w:type="dxa" w:w="1661"/>
          </w:tcPr>
          <w:p>
            <w:pPr>
              <w:pStyle w:val="null3"/>
            </w:pPr>
            <w:r>
              <w:rPr>
                <w:rFonts w:ascii="仿宋_GB2312" w:hAnsi="仿宋_GB2312" w:cs="仿宋_GB2312" w:eastAsia="仿宋_GB2312"/>
              </w:rPr>
              <w:t>组织管理措施</w:t>
            </w:r>
          </w:p>
        </w:tc>
        <w:tc>
          <w:tcPr>
            <w:tcW w:type="dxa" w:w="2492"/>
          </w:tcPr>
          <w:p>
            <w:pPr>
              <w:pStyle w:val="null3"/>
            </w:pPr>
            <w:r>
              <w:rPr>
                <w:rFonts w:ascii="仿宋_GB2312" w:hAnsi="仿宋_GB2312" w:cs="仿宋_GB2312" w:eastAsia="仿宋_GB2312"/>
              </w:rPr>
              <w:t>一、评审内容 供应商根据本项目特点提出项目组织管理措施，内容包括：①项目组织机构②管理措施完善。 二、评审标准 1.完整性：方案内容全面，有详细描述及其他内容的补充； 2.符合性：符合项目实际特点，合理、恰当； 三、赋分标准（满分8分） ①项目组织机构：每完全满足一个评审标准得2分，满分4分； ②管理措施完善：每完全满足一个评审标准得2 分，满分4分；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组织管理措施</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供应商根据本项目特点提出项目售后服务方案，内容包括：①后续服务内容②服务保证措施。 二、评审标准 1.完整性：方案内容全面，有详细描述及其他内容的补充； 2.符合性：符合项目实际特点，合理、恰当； 三、赋分标准（满分8分） ①后续服务内容：每完全满足一个评审标准得 2 分，满分4分； ②服务保证措施：每完全满足一个评审标准得2分，满分 4分；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一、评审内容供应商根据本项目特点提出项目培训方案内容包括：①培训计划②培训服务措施 二、评审标准 1.完整性：方案内容全面，有详细描述及其他内容的补充； 2.符合性：符合项目实际特点，合理、恰当； 三、赋分标准（满分 8分） ①培训计划：每完全满足一个评审标准得2分，满分4分； ②培训服务措施：每完全满足一个评审标准得 2分，满分4分；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1、项目负责人：具备高级信息系统项目管理师证书的得2分或具有pmp证书得1分。 2、其他技术人员： 每提供1名具有本科及以上学历的同时具有药学专业学士以上学历的，每提供1名计1分，满分3分。 所有人员需提供相关证件、截止至磋商时间前一年内任意一个月社保缴纳证明等相关资料，不提供不得分。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供应商提供2023年1月至今已完成的类似业绩，提供一份得2分，最高得6分。（提供合同复印件）。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1、实质性满足磋商文件要求且最后报价最低价为磋商基准价，其价格分为满分10分。其它供应商的价格分统一按照下列公式计算：磋商报价得分=（磋商基准价/最后磋商报价）×10； 2、评审委员会有二分之一以上成员认为供应商的报价明显低于其他响应报价、或明显低于市场价格，使得其响应报价可能低于其成本的，应当要求该单位作出书面说明并提供相应的证明材料。该单位不能合理说明或者不能提供相应证明材料的，由评审委员会认定该供应商以低于成本报价竞标，其供应商响应文件作无效文件处理。3、根据《财政部民政部中国残疾人联合会关于促进残疾人就业政府采购政策的通知》（财库〔2017〕141号）的规定，对符合条件的残疾人福利性单位产品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详见附件：商务偏离表</w:t>
      </w:r>
    </w:p>
    <w:p>
      <w:pPr>
        <w:pStyle w:val="null3"/>
        <w:ind w:firstLine="960"/>
      </w:pPr>
      <w:r>
        <w:rPr>
          <w:rFonts w:ascii="仿宋_GB2312" w:hAnsi="仿宋_GB2312" w:cs="仿宋_GB2312" w:eastAsia="仿宋_GB2312"/>
        </w:rPr>
        <w:t>详见附件：技术偏离表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详见附件：技术参数响应</w:t>
      </w:r>
    </w:p>
    <w:p>
      <w:pPr>
        <w:pStyle w:val="null3"/>
        <w:ind w:firstLine="960"/>
      </w:pPr>
      <w:r>
        <w:rPr>
          <w:rFonts w:ascii="仿宋_GB2312" w:hAnsi="仿宋_GB2312" w:cs="仿宋_GB2312" w:eastAsia="仿宋_GB2312"/>
        </w:rPr>
        <w:t>详见附件：项目理解及分析</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详见附件：项目进度计划与措施</w:t>
      </w:r>
    </w:p>
    <w:p>
      <w:pPr>
        <w:pStyle w:val="null3"/>
        <w:ind w:firstLine="960"/>
      </w:pPr>
      <w:r>
        <w:rPr>
          <w:rFonts w:ascii="仿宋_GB2312" w:hAnsi="仿宋_GB2312" w:cs="仿宋_GB2312" w:eastAsia="仿宋_GB2312"/>
        </w:rPr>
        <w:t>详见附件：质量保证措施</w:t>
      </w:r>
    </w:p>
    <w:p>
      <w:pPr>
        <w:pStyle w:val="null3"/>
        <w:ind w:firstLine="960"/>
      </w:pPr>
      <w:r>
        <w:rPr>
          <w:rFonts w:ascii="仿宋_GB2312" w:hAnsi="仿宋_GB2312" w:cs="仿宋_GB2312" w:eastAsia="仿宋_GB2312"/>
        </w:rPr>
        <w:t>详见附件：组织管理措施</w:t>
      </w:r>
    </w:p>
    <w:p>
      <w:pPr>
        <w:pStyle w:val="null3"/>
        <w:ind w:firstLine="960"/>
      </w:pPr>
      <w:r>
        <w:rPr>
          <w:rFonts w:ascii="仿宋_GB2312" w:hAnsi="仿宋_GB2312" w:cs="仿宋_GB2312" w:eastAsia="仿宋_GB2312"/>
        </w:rPr>
        <w:t>详见附件：售后服务方案</w:t>
      </w:r>
    </w:p>
    <w:p>
      <w:pPr>
        <w:pStyle w:val="null3"/>
        <w:ind w:firstLine="960"/>
      </w:pPr>
      <w:r>
        <w:rPr>
          <w:rFonts w:ascii="仿宋_GB2312" w:hAnsi="仿宋_GB2312" w:cs="仿宋_GB2312" w:eastAsia="仿宋_GB2312"/>
        </w:rPr>
        <w:t>详见附件：培训方案</w:t>
      </w:r>
    </w:p>
    <w:p>
      <w:pPr>
        <w:pStyle w:val="null3"/>
        <w:ind w:firstLine="960"/>
      </w:pPr>
      <w:r>
        <w:rPr>
          <w:rFonts w:ascii="仿宋_GB2312" w:hAnsi="仿宋_GB2312" w:cs="仿宋_GB2312" w:eastAsia="仿宋_GB2312"/>
        </w:rPr>
        <w:t>详见附件：人员配备</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详见附件：磋商保证金</w:t>
      </w:r>
    </w:p>
    <w:p>
      <w:pPr>
        <w:pStyle w:val="null3"/>
        <w:ind w:firstLine="960"/>
      </w:pPr>
      <w:r>
        <w:rPr>
          <w:rFonts w:ascii="仿宋_GB2312" w:hAnsi="仿宋_GB2312" w:cs="仿宋_GB2312" w:eastAsia="仿宋_GB2312"/>
        </w:rPr>
        <w:t>详见附件：供应商认为有必要说明的其他问题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