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版本号：政采-省本级-2026-0186420260331001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陕西省防洪风险管控手册编制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政采-省本级-2026-01864</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陕西省防洪风险管控手册编制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政采-省本级-2026-01864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陕西省防洪风险管控手册编制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坚持以总书记新时代中国特色社会主义思想为指导，深入贯彻党的二十届二中、三中全会精神，全面落实总书记关于防灾减灾救灾和治水工作的重要论述，践行“人民至上、生命至上”理念，统筹发展与安全，立足陕西省洪涝灾害多发频发、风险点多面广的省情水情，聚焦防洪短板弱项，以提升洪涝灾害防御能力为核心目标。编制陕西省防洪风险点管控手册，具体围绕水库水闸、河道堤防、山洪沟、城市防洪、淤地坝、感知系统和基层应急响应能力等七个方面开展，提出整治措施与提升建议，构建覆盖省、市、县三级的防洪风险管控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5、没有重大违法记录的书面声明：参加政府采购活动前三年内，在经营活动中没有重大违法记录书面声明并加盖公章。</w:t>
      </w:r>
    </w:p>
    <w:p>
      <w:pPr>
        <w:pStyle w:val="null3"/>
      </w:pPr>
      <w:r>
        <w:rPr>
          <w:rFonts w:ascii="仿宋_GB2312" w:hAnsi="仿宋_GB2312" w:cs="仿宋_GB2312" w:eastAsia="仿宋_GB2312"/>
        </w:rPr>
        <w:t>6、信用中国和中国政府采购网查询截图：供应商不得为“信用中国”网站中重大税收违法案件当事人名单和“中国执行信息公开网”中列入失 信被执行人名单，不得为中国政府采购网（www.ccgp.gov.cn）政府采购严重违法失信行为记录名单中被财政部门禁止参加政府采购活动的供应商，附网站截图并加盖公章。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029-61835077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符合竞争性磋商文件、响应文件、合同文本、国内相应的标准、规范。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坚持以总书记新时代中国特色社会主义思想为指导，深入贯彻党的二十届二中、三中全会精神，全面落实总书记关于防灾减灾救灾和治水工作的重要论述，践行“人民至上、生命至上”理念，统筹发展与安全，立足陕西省洪涝灾害多发频发、风险点多面广的省情水情，聚焦防洪短板弱项，以提升洪涝灾害防御能力为核心目标。编制陕西省防洪风险点管控手册，具体围绕水库水闸、河道堤防、山洪沟、城市防洪、淤地坝、感知系统和基层应急响应能力等七个方面开展，提出整治措施与提升建议，构建覆盖省、市、县三级的防洪风险管控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陕西省防洪风险管控手册编制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标的名称：陕西省防洪风险管控手册编制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一、主要工作内容</w:t>
            </w:r>
          </w:p>
          <w:p>
            <w:pPr>
              <w:pStyle w:val="null3"/>
            </w:pPr>
            <w:r>
              <w:rPr>
                <w:rFonts w:ascii="仿宋_GB2312" w:hAnsi="仿宋_GB2312" w:cs="仿宋_GB2312" w:eastAsia="仿宋_GB2312"/>
              </w:rPr>
              <w:t xml:space="preserve">    围绕水库水闸、河道堤防、山洪沟、城市防洪、淤地坝、感知系统和基层应急响应能力等七个方面开展：梳理病险工程隐患，分析堤防不达标、行洪受阻、监测盲区等问题，划定风险段、危险区和风险等级；评估城市排涝能力和基层预警响应、人员转移、抢险救援等环节短板，形成各类风险清单和应急能力评估清单，提出整治措施与提升建议，构建覆盖省、市、县三级的防洪风险管控体系。</w:t>
            </w:r>
          </w:p>
          <w:p>
            <w:pPr>
              <w:pStyle w:val="null3"/>
            </w:pPr>
            <w:r>
              <w:rPr>
                <w:rFonts w:ascii="仿宋_GB2312" w:hAnsi="仿宋_GB2312" w:cs="仿宋_GB2312" w:eastAsia="仿宋_GB2312"/>
              </w:rPr>
              <w:t>（一）现状调研及存在的问题分析</w:t>
            </w:r>
          </w:p>
          <w:p>
            <w:pPr>
              <w:pStyle w:val="null3"/>
            </w:pPr>
            <w:r>
              <w:rPr>
                <w:rFonts w:ascii="仿宋_GB2312" w:hAnsi="仿宋_GB2312" w:cs="仿宋_GB2312" w:eastAsia="仿宋_GB2312"/>
              </w:rPr>
              <w:t xml:space="preserve">  （1）病险水库水闸风险识别与防洪调度；</w:t>
            </w:r>
          </w:p>
          <w:p>
            <w:pPr>
              <w:pStyle w:val="null3"/>
            </w:pPr>
            <w:r>
              <w:rPr>
                <w:rFonts w:ascii="仿宋_GB2312" w:hAnsi="仿宋_GB2312" w:cs="仿宋_GB2312" w:eastAsia="仿宋_GB2312"/>
              </w:rPr>
              <w:t xml:space="preserve">  （2）主要河流风险点普查与建档；</w:t>
            </w:r>
          </w:p>
          <w:p>
            <w:pPr>
              <w:pStyle w:val="null3"/>
            </w:pPr>
            <w:r>
              <w:rPr>
                <w:rFonts w:ascii="仿宋_GB2312" w:hAnsi="仿宋_GB2312" w:cs="仿宋_GB2312" w:eastAsia="仿宋_GB2312"/>
              </w:rPr>
              <w:t xml:space="preserve">  （3）山洪沟风险点排查与风险点整编；</w:t>
            </w:r>
          </w:p>
          <w:p>
            <w:pPr>
              <w:pStyle w:val="null3"/>
            </w:pPr>
            <w:r>
              <w:rPr>
                <w:rFonts w:ascii="仿宋_GB2312" w:hAnsi="仿宋_GB2312" w:cs="仿宋_GB2312" w:eastAsia="仿宋_GB2312"/>
              </w:rPr>
              <w:t xml:space="preserve">  （4）城市防洪风险点排查与能力提升措施；</w:t>
            </w:r>
          </w:p>
          <w:p>
            <w:pPr>
              <w:pStyle w:val="null3"/>
            </w:pPr>
            <w:r>
              <w:rPr>
                <w:rFonts w:ascii="仿宋_GB2312" w:hAnsi="仿宋_GB2312" w:cs="仿宋_GB2312" w:eastAsia="仿宋_GB2312"/>
              </w:rPr>
              <w:t xml:space="preserve">  （5）病险淤地坝风险排查与系统防控；</w:t>
            </w:r>
          </w:p>
          <w:p>
            <w:pPr>
              <w:pStyle w:val="null3"/>
            </w:pPr>
            <w:r>
              <w:rPr>
                <w:rFonts w:ascii="仿宋_GB2312" w:hAnsi="仿宋_GB2312" w:cs="仿宋_GB2312" w:eastAsia="仿宋_GB2312"/>
              </w:rPr>
              <w:t xml:space="preserve">  （6）感知系统监测能力评估与预警优化；</w:t>
            </w:r>
          </w:p>
          <w:p>
            <w:pPr>
              <w:pStyle w:val="null3"/>
            </w:pPr>
            <w:r>
              <w:rPr>
                <w:rFonts w:ascii="仿宋_GB2312" w:hAnsi="仿宋_GB2312" w:cs="仿宋_GB2312" w:eastAsia="仿宋_GB2312"/>
              </w:rPr>
              <w:t xml:space="preserve">  （7）基层应急能力评估与精准化避险机制建设。</w:t>
            </w:r>
          </w:p>
          <w:p>
            <w:pPr>
              <w:pStyle w:val="null3"/>
            </w:pPr>
            <w:r>
              <w:rPr>
                <w:rFonts w:ascii="仿宋_GB2312" w:hAnsi="仿宋_GB2312" w:cs="仿宋_GB2312" w:eastAsia="仿宋_GB2312"/>
              </w:rPr>
              <w:t xml:space="preserve"> 二、标准规范</w:t>
            </w:r>
          </w:p>
          <w:p>
            <w:pPr>
              <w:pStyle w:val="null3"/>
            </w:pPr>
            <w:r>
              <w:rPr>
                <w:rFonts w:ascii="仿宋_GB2312" w:hAnsi="仿宋_GB2312" w:cs="仿宋_GB2312" w:eastAsia="仿宋_GB2312"/>
              </w:rPr>
              <w:t xml:space="preserve">   1、法律法规</w:t>
            </w:r>
          </w:p>
          <w:p>
            <w:pPr>
              <w:pStyle w:val="null3"/>
            </w:pPr>
            <w:r>
              <w:rPr>
                <w:rFonts w:ascii="仿宋_GB2312" w:hAnsi="仿宋_GB2312" w:cs="仿宋_GB2312" w:eastAsia="仿宋_GB2312"/>
              </w:rPr>
              <w:t>（1）《中华人民共和国水法》；</w:t>
            </w:r>
          </w:p>
          <w:p>
            <w:pPr>
              <w:pStyle w:val="null3"/>
            </w:pPr>
            <w:r>
              <w:rPr>
                <w:rFonts w:ascii="仿宋_GB2312" w:hAnsi="仿宋_GB2312" w:cs="仿宋_GB2312" w:eastAsia="仿宋_GB2312"/>
              </w:rPr>
              <w:t>（2）《中华人民共和国防洪法》；</w:t>
            </w:r>
          </w:p>
          <w:p>
            <w:pPr>
              <w:pStyle w:val="null3"/>
            </w:pPr>
            <w:r>
              <w:rPr>
                <w:rFonts w:ascii="仿宋_GB2312" w:hAnsi="仿宋_GB2312" w:cs="仿宋_GB2312" w:eastAsia="仿宋_GB2312"/>
              </w:rPr>
              <w:t>（3）《中华人民共和国水土保持法》；</w:t>
            </w:r>
          </w:p>
          <w:p>
            <w:pPr>
              <w:pStyle w:val="null3"/>
            </w:pPr>
            <w:r>
              <w:rPr>
                <w:rFonts w:ascii="仿宋_GB2312" w:hAnsi="仿宋_GB2312" w:cs="仿宋_GB2312" w:eastAsia="仿宋_GB2312"/>
              </w:rPr>
              <w:t>（4）《水库大坝安全管理条例》；</w:t>
            </w:r>
          </w:p>
          <w:p>
            <w:pPr>
              <w:pStyle w:val="null3"/>
            </w:pPr>
            <w:r>
              <w:rPr>
                <w:rFonts w:ascii="仿宋_GB2312" w:hAnsi="仿宋_GB2312" w:cs="仿宋_GB2312" w:eastAsia="仿宋_GB2312"/>
              </w:rPr>
              <w:t>（5）《陕西省河道管理条例》；</w:t>
            </w:r>
          </w:p>
          <w:p>
            <w:pPr>
              <w:pStyle w:val="null3"/>
            </w:pPr>
            <w:r>
              <w:rPr>
                <w:rFonts w:ascii="仿宋_GB2312" w:hAnsi="仿宋_GB2312" w:cs="仿宋_GB2312" w:eastAsia="仿宋_GB2312"/>
              </w:rPr>
              <w:t>（6）《陕西省渭河保护条例》；</w:t>
            </w:r>
          </w:p>
          <w:p>
            <w:pPr>
              <w:pStyle w:val="null3"/>
            </w:pPr>
            <w:r>
              <w:rPr>
                <w:rFonts w:ascii="仿宋_GB2312" w:hAnsi="仿宋_GB2312" w:cs="仿宋_GB2312" w:eastAsia="仿宋_GB2312"/>
              </w:rPr>
              <w:t>（7）其他有关法律法规。</w:t>
            </w:r>
          </w:p>
          <w:p>
            <w:pPr>
              <w:pStyle w:val="null3"/>
            </w:pPr>
            <w:r>
              <w:rPr>
                <w:rFonts w:ascii="仿宋_GB2312" w:hAnsi="仿宋_GB2312" w:cs="仿宋_GB2312" w:eastAsia="仿宋_GB2312"/>
              </w:rPr>
              <w:t xml:space="preserve">   2、规程规范</w:t>
            </w:r>
          </w:p>
          <w:p>
            <w:pPr>
              <w:pStyle w:val="null3"/>
            </w:pPr>
            <w:r>
              <w:rPr>
                <w:rFonts w:ascii="仿宋_GB2312" w:hAnsi="仿宋_GB2312" w:cs="仿宋_GB2312" w:eastAsia="仿宋_GB2312"/>
              </w:rPr>
              <w:t>（1）《水利规划编制工作费用计算办法》；</w:t>
            </w:r>
          </w:p>
          <w:p>
            <w:pPr>
              <w:pStyle w:val="null3"/>
            </w:pPr>
            <w:r>
              <w:rPr>
                <w:rFonts w:ascii="仿宋_GB2312" w:hAnsi="仿宋_GB2312" w:cs="仿宋_GB2312" w:eastAsia="仿宋_GB2312"/>
              </w:rPr>
              <w:t>（2）《水利发展规划编制规程》；</w:t>
            </w:r>
          </w:p>
          <w:p>
            <w:pPr>
              <w:pStyle w:val="null3"/>
            </w:pPr>
            <w:r>
              <w:rPr>
                <w:rFonts w:ascii="仿宋_GB2312" w:hAnsi="仿宋_GB2312" w:cs="仿宋_GB2312" w:eastAsia="仿宋_GB2312"/>
              </w:rPr>
              <w:t>（3）《水资源规划规范》；</w:t>
            </w:r>
          </w:p>
          <w:p>
            <w:pPr>
              <w:pStyle w:val="null3"/>
            </w:pPr>
            <w:r>
              <w:rPr>
                <w:rFonts w:ascii="仿宋_GB2312" w:hAnsi="仿宋_GB2312" w:cs="仿宋_GB2312" w:eastAsia="仿宋_GB2312"/>
              </w:rPr>
              <w:t>（4）《淤地坝技术规范》；</w:t>
            </w:r>
          </w:p>
          <w:p>
            <w:pPr>
              <w:pStyle w:val="null3"/>
            </w:pPr>
            <w:r>
              <w:rPr>
                <w:rFonts w:ascii="仿宋_GB2312" w:hAnsi="仿宋_GB2312" w:cs="仿宋_GB2312" w:eastAsia="仿宋_GB2312"/>
              </w:rPr>
              <w:t>（5）《河道整治设计规范》；</w:t>
            </w:r>
          </w:p>
          <w:p>
            <w:pPr>
              <w:pStyle w:val="null3"/>
            </w:pPr>
            <w:r>
              <w:rPr>
                <w:rFonts w:ascii="仿宋_GB2312" w:hAnsi="仿宋_GB2312" w:cs="仿宋_GB2312" w:eastAsia="仿宋_GB2312"/>
              </w:rPr>
              <w:t>（6）《水文调查规范》；</w:t>
            </w:r>
          </w:p>
          <w:p>
            <w:pPr>
              <w:pStyle w:val="null3"/>
            </w:pPr>
            <w:r>
              <w:rPr>
                <w:rFonts w:ascii="仿宋_GB2312" w:hAnsi="仿宋_GB2312" w:cs="仿宋_GB2312" w:eastAsia="仿宋_GB2312"/>
              </w:rPr>
              <w:t>（7）《水利水电工程等级划分及洪水标准》；</w:t>
            </w:r>
          </w:p>
          <w:p>
            <w:pPr>
              <w:pStyle w:val="null3"/>
            </w:pPr>
            <w:r>
              <w:rPr>
                <w:rFonts w:ascii="仿宋_GB2312" w:hAnsi="仿宋_GB2312" w:cs="仿宋_GB2312" w:eastAsia="仿宋_GB2312"/>
              </w:rPr>
              <w:t>（8）《水库大坝安全评价导则》；</w:t>
            </w:r>
          </w:p>
          <w:p>
            <w:pPr>
              <w:pStyle w:val="null3"/>
            </w:pPr>
            <w:r>
              <w:rPr>
                <w:rFonts w:ascii="仿宋_GB2312" w:hAnsi="仿宋_GB2312" w:cs="仿宋_GB2312" w:eastAsia="仿宋_GB2312"/>
              </w:rPr>
              <w:t>（9）《山洪灾害调查与评价技术规范》；</w:t>
            </w:r>
          </w:p>
          <w:p>
            <w:pPr>
              <w:pStyle w:val="null3"/>
            </w:pPr>
            <w:r>
              <w:rPr>
                <w:rFonts w:ascii="仿宋_GB2312" w:hAnsi="仿宋_GB2312" w:cs="仿宋_GB2312" w:eastAsia="仿宋_GB2312"/>
              </w:rPr>
              <w:t>（10）《洪水风险图编制导则》；</w:t>
            </w:r>
          </w:p>
          <w:p>
            <w:pPr>
              <w:pStyle w:val="null3"/>
            </w:pPr>
            <w:r>
              <w:rPr>
                <w:rFonts w:ascii="仿宋_GB2312" w:hAnsi="仿宋_GB2312" w:cs="仿宋_GB2312" w:eastAsia="仿宋_GB2312"/>
              </w:rPr>
              <w:t>（11）等其它相关规程、规范及技术标准。</w:t>
            </w:r>
          </w:p>
          <w:p>
            <w:pPr>
              <w:pStyle w:val="null3"/>
            </w:pPr>
            <w:r>
              <w:rPr>
                <w:rFonts w:ascii="仿宋_GB2312" w:hAnsi="仿宋_GB2312" w:cs="仿宋_GB2312" w:eastAsia="仿宋_GB2312"/>
              </w:rPr>
              <w:t>三、主要成果递交</w:t>
            </w:r>
          </w:p>
          <w:p>
            <w:pPr>
              <w:pStyle w:val="null3"/>
            </w:pPr>
            <w:r>
              <w:rPr>
                <w:rFonts w:ascii="仿宋_GB2312" w:hAnsi="仿宋_GB2312" w:cs="仿宋_GB2312" w:eastAsia="仿宋_GB2312"/>
              </w:rPr>
              <w:t xml:space="preserve"> 1、《陕西省防洪风险点管控手册》、《陕西省水库水闸防洪风险点管控分册》；《陕西省河道堤防防洪风险点管控分册》；《陕西省山洪沟防洪风险点管控分册》；《陕西省城市防洪风险点管控分册》；《陕西省淤地坝防洪风险点管控分册》；《陕西省感知系统防洪风险点管控分册》；</w:t>
            </w:r>
          </w:p>
          <w:p>
            <w:pPr>
              <w:pStyle w:val="null3"/>
            </w:pPr>
            <w:r>
              <w:rPr>
                <w:rFonts w:ascii="仿宋_GB2312" w:hAnsi="仿宋_GB2312" w:cs="仿宋_GB2312" w:eastAsia="仿宋_GB2312"/>
              </w:rPr>
              <w:t xml:space="preserve"> 2、陕西省防洪风险点管理清单；</w:t>
            </w:r>
          </w:p>
          <w:p>
            <w:pPr>
              <w:pStyle w:val="null3"/>
            </w:pPr>
            <w:r>
              <w:rPr>
                <w:rFonts w:ascii="仿宋_GB2312" w:hAnsi="仿宋_GB2312" w:cs="仿宋_GB2312" w:eastAsia="仿宋_GB2312"/>
              </w:rPr>
              <w:t xml:space="preserve"> 3、两图一库模型风险点补充清单。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能满足技术要求，且在规定时间内未达到合同约定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陕西省防洪风险管控手册编制项目实际服务期限以合同为准。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信用中国和中国政府采购网查询截图</w:t>
            </w:r>
          </w:p>
        </w:tc>
        <w:tc>
          <w:tcPr>
            <w:tcW w:type="dxa" w:w="3322"/>
          </w:tcPr>
          <w:p>
            <w:pPr>
              <w:pStyle w:val="null3"/>
            </w:pPr>
            <w:r>
              <w:rPr>
                <w:rFonts w:ascii="仿宋_GB2312" w:hAnsi="仿宋_GB2312" w:cs="仿宋_GB2312" w:eastAsia="仿宋_GB2312"/>
              </w:rPr>
              <w:t>供应商不得为“信用中国”网站中重大税收违法案件当事人名单和“中国执行信息公开网”中列入失 信被执行人名单，不得为中国政府采购网（www.ccgp.gov.cn）政府采购严重违法失信行为记录名单中被财政部门禁止参加政府采购活动的供应商，附网站截图并加盖公章。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人员配备.docx 授权委托书.docx 商务应答表 标的清单 报价表 项目负责人简况表.docx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应符合“第七章 响应文件格式”的要求</w:t>
            </w:r>
          </w:p>
        </w:tc>
        <w:tc>
          <w:tcPr>
            <w:tcW w:type="dxa" w:w="1661"/>
          </w:tcPr>
          <w:p>
            <w:pPr>
              <w:pStyle w:val="null3"/>
            </w:pPr>
            <w:r>
              <w:rPr>
                <w:rFonts w:ascii="仿宋_GB2312" w:hAnsi="仿宋_GB2312" w:cs="仿宋_GB2312" w:eastAsia="仿宋_GB2312"/>
              </w:rPr>
              <w:t>服务内容及服务邀请应答表 人员配备.docx 中小企业声明函 授权委托书.docx 商务应答表 报价表 拒绝商业贿赂承诺书.docx 响应文件封面 供应商认为有必要说明的事宜（如有）.docx 供应商应提交的相关资格证明材料.docx 承揽的类似项目情况表.docx 残疾人福利性单位声明函 服务方案 标的清单 项目负责人简况表.docx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报价</w:t>
            </w:r>
          </w:p>
        </w:tc>
        <w:tc>
          <w:tcPr>
            <w:tcW w:type="dxa" w:w="3322"/>
          </w:tcPr>
          <w:p>
            <w:pPr>
              <w:pStyle w:val="null3"/>
            </w:pPr>
            <w:r>
              <w:rPr>
                <w:rFonts w:ascii="仿宋_GB2312" w:hAnsi="仿宋_GB2312" w:cs="仿宋_GB2312" w:eastAsia="仿宋_GB2312"/>
              </w:rPr>
              <w:t xml:space="preserve"> 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磋商响应文件内容符合“第三章 磋商项目技术、服务、商务及其他要求”的内容</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1、项目负责人须为本单位人员并提供证明材料，否则不计分。2、项目负责人具有水利类专业高级工程师得2分；项目负责人具有水利类专业中级工程师得1分，须提供证明材料。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1、本项目投入人员须为供应商在职人员并提供证明材料，否则不计分。2、根据供应商对于本项目的人员配备情况进行打分：人员安排合理，职责分工明确。 完全满足评审标准得6分，有缺陷或者不满足扣2分，缺项不得分。3、除项目负责人外其他人员具有水利专业高级工程师得1分，最高不超过2分。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注：应附合同协议书或中标（成交）通知书或立项文件或成果文件（如论文、课题、专利等）复印件。类似项目指自2022年3月1日至投标截止日前，承揽过防洪或风险分析类项目。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详见附件：供应商认为有必要说明的事宜（如有）.docx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详见附件：人员配备.docx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