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版本号：SXYS-2026-001.1B220260401003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高质量示范项目-数智医学中心建设项目(三次)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SXYS-2026-001.1B2</w:t>
      </w:r>
      <w:r>
        <w:br/>
      </w:r>
      <w:r>
        <w:br/>
      </w:r>
      <w:r>
        <w:br/>
      </w:r>
    </w:p>
    <w:p>
      <w:pPr>
        <w:pStyle w:val="null3"/>
        <w:jc w:val="center"/>
        <w:outlineLvl w:val="2"/>
      </w:pPr>
      <w:r>
        <w:rPr>
          <w:rFonts w:ascii="仿宋_GB2312" w:hAnsi="仿宋_GB2312" w:cs="仿宋_GB2312" w:eastAsia="仿宋_GB2312"/>
          <w:sz w:val="28"/>
          <w:b/>
        </w:rPr>
        <w:t>延安大学附属医院</w:t>
      </w:r>
    </w:p>
    <w:p>
      <w:pPr>
        <w:pStyle w:val="null3"/>
        <w:jc w:val="center"/>
        <w:outlineLvl w:val="2"/>
      </w:pPr>
      <w:r>
        <w:rPr>
          <w:rFonts w:ascii="仿宋_GB2312" w:hAnsi="仿宋_GB2312" w:cs="仿宋_GB2312" w:eastAsia="仿宋_GB2312"/>
          <w:sz w:val="28"/>
          <w:b/>
        </w:rPr>
        <w:t>陕西延审工程项目管理有限公司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陕西延审工程项目管理有限公司</w:t>
      </w:r>
      <w:r>
        <w:rPr>
          <w:rFonts w:ascii="仿宋_GB2312" w:hAnsi="仿宋_GB2312" w:cs="仿宋_GB2312" w:eastAsia="仿宋_GB2312"/>
        </w:rPr>
        <w:t>（以下简称“代理机构”）受</w:t>
      </w:r>
      <w:r>
        <w:rPr>
          <w:rFonts w:ascii="仿宋_GB2312" w:hAnsi="仿宋_GB2312" w:cs="仿宋_GB2312" w:eastAsia="仿宋_GB2312"/>
        </w:rPr>
        <w:t>延安大学附属医院</w:t>
      </w:r>
      <w:r>
        <w:rPr>
          <w:rFonts w:ascii="仿宋_GB2312" w:hAnsi="仿宋_GB2312" w:cs="仿宋_GB2312" w:eastAsia="仿宋_GB2312"/>
        </w:rPr>
        <w:t>委托，拟对</w:t>
      </w:r>
      <w:r>
        <w:rPr>
          <w:rFonts w:ascii="仿宋_GB2312" w:hAnsi="仿宋_GB2312" w:cs="仿宋_GB2312" w:eastAsia="仿宋_GB2312"/>
        </w:rPr>
        <w:t>高质量示范项目-数智医学中心建设项目(三次)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SXYS-2026-001.1B2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高质量示范项目-数智医学中心建设项目(三次)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NAS大型网络数据存储服务器。部署分布式存储架构的NAS系统，集成多节点冗余设计、智能分级存储及多协议访问接口，支持PB级医学影像（DICOM）、临床科研数据的集中存储与高速调取。构建医院统一数据底座，提高数据可用性，存储效率提升，满足未来5年数据增长需求。 2.智能精准外科专用数据存储多平台交互系统辅助骨科成立区域医学3D打印技术应用推广中心，并建立3D模型云端数据库，推动骨科诊疗技术数智化转型，将数智技术向骨科各亚专业进行推广和扩大应用，使广大患者获得精准、微创、个体化的临床效果。通过将多元虚拟仿真技术和骨科微创内镜实体操作培训系统相结合，成立区域骨科微创智能化实操培训基地，显著提高延安地区骨科医生个体化、精准化、微创化的治疗水平。 3.“数字肺”呼吸系统疾病评价体系平台基于CT影像、肺功能及血液标志物数据，构建融合深度学习与放射组学的多模态分析平台，开发肺癌辅助诊断、肺密度量化分析、支气管扩张分析、肺叶量化分析等算法模型。协助科室建立陕北地区首个基于“数字肺”的多维度、可视化、定量化评价体系医学中心，填补区域呼吸系统疾病精准诊疗领域的空白，助力学科高质量发展，全面提升区域医疗水平。 4.COPD呼吸专病管理平台。通过搭建覆盖“筛查-诊疗-康复”全周期的慢阻肺管理平台，集成物联网设备数据采集、急性加重风险预测模型及医患互动模块，支持个性化康复计划推送与远程随访，建立呼吸专病管理平台，为区域及全国呼吸系统疾病研究提供数据支持，组建3个多学科协作团队，整合资源，构建呼吸系统疾病早期筛查与精准诊疗体系，推动技术创新与示范应用。 5.定量 CT（QCT）骨密度分析系统是基于常规CT影像的骨密度定量分析工具，集成体模校正技术、多部位测量模块及Frax骨折风险评分引擎，生成符合国际标准（ISCD）的骨质疏松、脂肪肝、肌少症、脂肪面积测量等诊断报告的软件系统。QCT具有三维高精度骨密度测量、多模态扩展分析（如脂肪/肌肉定量）及与常规CT同步扫描的低辐射便捷性等核心优势，一次检查即可获得多病共检报告，通过整合“精准测量+多模态分析+临床科研”能力，实现疾病诊断准确率提升，优化诊疗流程，构建高质量数据集，推动医学研究突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2、银行开户：银行开户许可证或开户行基本信息</w:t>
      </w:r>
    </w:p>
    <w:p>
      <w:pPr>
        <w:pStyle w:val="null3"/>
      </w:pPr>
      <w:r>
        <w:rPr>
          <w:rFonts w:ascii="仿宋_GB2312" w:hAnsi="仿宋_GB2312" w:cs="仿宋_GB2312" w:eastAsia="仿宋_GB2312"/>
        </w:rPr>
        <w:t>3、法定代表人授权书：法定代表人授权书（附法定代表人身份证复印件）及被授权人身份证（法定代表人直接参加须提供法定代表人身份证明及法定代表人身份证复印件）；</w:t>
      </w:r>
    </w:p>
    <w:p>
      <w:pPr>
        <w:pStyle w:val="null3"/>
      </w:pPr>
      <w:r>
        <w:rPr>
          <w:rFonts w:ascii="仿宋_GB2312" w:hAnsi="仿宋_GB2312" w:cs="仿宋_GB2312" w:eastAsia="仿宋_GB2312"/>
        </w:rPr>
        <w:t>4、财务状况证明：提供2024年度经审计完整的财务审计报告（成立时间至提交响应文件截止时间不足一年的可提供成立后任意时段的资产负债表）或三个月内其基本存款账户开户银行出具的资信证明；</w:t>
      </w:r>
    </w:p>
    <w:p>
      <w:pPr>
        <w:pStyle w:val="null3"/>
      </w:pPr>
      <w:r>
        <w:rPr>
          <w:rFonts w:ascii="仿宋_GB2312" w:hAnsi="仿宋_GB2312" w:cs="仿宋_GB2312" w:eastAsia="仿宋_GB2312"/>
        </w:rPr>
        <w:t>5、税收缴纳证明：提供截止磋商时间近一年内任意一个月已缴纳的纳税证明或完税证明，依法免税的供应商应提供相关文件证明；</w:t>
      </w:r>
    </w:p>
    <w:p>
      <w:pPr>
        <w:pStyle w:val="null3"/>
      </w:pPr>
      <w:r>
        <w:rPr>
          <w:rFonts w:ascii="仿宋_GB2312" w:hAnsi="仿宋_GB2312" w:cs="仿宋_GB2312" w:eastAsia="仿宋_GB2312"/>
        </w:rPr>
        <w:t>6、社会保障资金缴纳证明：提供截止磋商时间近一年内任意一个月的社会保障资金缴存证明或社保机构开具的社会保险参保缴费情况证明；依法不需要缴纳社会保障资金的应提供相关文件证明；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7、书面声明：具有履行合同所必需的设备和专业技术能力的书面声明；</w:t>
      </w:r>
    </w:p>
    <w:p>
      <w:pPr>
        <w:pStyle w:val="null3"/>
      </w:pPr>
      <w:r>
        <w:rPr>
          <w:rFonts w:ascii="仿宋_GB2312" w:hAnsi="仿宋_GB2312" w:cs="仿宋_GB2312" w:eastAsia="仿宋_GB2312"/>
        </w:rPr>
        <w:t>8、信用信誉：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w:t>
      </w:r>
    </w:p>
    <w:p>
      <w:pPr>
        <w:pStyle w:val="null3"/>
      </w:pPr>
      <w:r>
        <w:rPr>
          <w:rFonts w:ascii="仿宋_GB2312" w:hAnsi="仿宋_GB2312" w:cs="仿宋_GB2312" w:eastAsia="仿宋_GB2312"/>
        </w:rPr>
        <w:t>9、联合体：本项目不接受联合体磋商；</w:t>
      </w:r>
    </w:p>
    <w:p>
      <w:pPr>
        <w:pStyle w:val="null3"/>
      </w:pPr>
      <w:r>
        <w:rPr>
          <w:rFonts w:ascii="仿宋_GB2312" w:hAnsi="仿宋_GB2312" w:cs="仿宋_GB2312" w:eastAsia="仿宋_GB2312"/>
        </w:rPr>
        <w:t>10、控股管理关系：单位负责人为同一人或者存在直接控股、管理关系的不同供应商，不得参加本次采购活动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陕西省延安市宝塔区北大街43号延安大学附属医院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0911-2881326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陕西延审工程项目管理有限公司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延安市新区嘉宁万兴花园写字楼21层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郝小艳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19929659892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开户名称：陕西延审工程项目管理有限公司</w:t>
            </w:r>
          </w:p>
          <w:p>
            <w:pPr>
              <w:pStyle w:val="null3"/>
            </w:pPr>
            <w:r>
              <w:rPr>
                <w:rFonts w:ascii="仿宋_GB2312" w:hAnsi="仿宋_GB2312" w:cs="仿宋_GB2312" w:eastAsia="仿宋_GB2312"/>
              </w:rPr>
              <w:t>开户银行：招商银行股份有限公司西安城北支行</w:t>
            </w:r>
          </w:p>
          <w:p>
            <w:pPr>
              <w:pStyle w:val="null3"/>
            </w:pPr>
            <w:r>
              <w:rPr>
                <w:rFonts w:ascii="仿宋_GB2312" w:hAnsi="仿宋_GB2312" w:cs="仿宋_GB2312" w:eastAsia="仿宋_GB2312"/>
              </w:rPr>
              <w:t>银行账号：129916845510008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代理服务费收费标准：1、本项目采购代理服务费按《招标代理服务收费管理暂行办法》（计价格〔2002〕1980号）标准计取，由成交供应商在领取成交通知书时向采购代理机构一次性付清。 2、采购代理服务费账户信息 3、名称：陕西延审工程项目管理有限公司 4、纳税人识别号：91610600675138577D 5、地址电话：陕西省西安市未央区太华北路安徽大厦15层01室029-86616270 6、开户行及账号：中国工商银行股份有限公司西安太华路支行3700023919200266054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延安大学附属医院</w:t>
      </w:r>
      <w:r>
        <w:rPr>
          <w:rFonts w:ascii="仿宋_GB2312" w:hAnsi="仿宋_GB2312" w:cs="仿宋_GB2312" w:eastAsia="仿宋_GB2312"/>
        </w:rPr>
        <w:t>和</w:t>
      </w:r>
      <w:r>
        <w:rPr>
          <w:rFonts w:ascii="仿宋_GB2312" w:hAnsi="仿宋_GB2312" w:cs="仿宋_GB2312" w:eastAsia="仿宋_GB2312"/>
        </w:rPr>
        <w:t>陕西延审工程项目管理有限公司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陕西延审工程项目管理有限公司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陕西延审工程项目管理有限公司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1、采购人对供应商提供的产品在使用商进行间试村供应商带只责克英开培训未四人的使写换作人员:并协助采购人一起调式，直到府合技术要求:采购人才做希终位校。2、验校时天的方成交兴应商等项目相关方都 须在场:验收元毕后一致作出验收结果报吉。3、文付文栏心收要术:项日的工作内背及成果文档的提文应保证元整，电子文档是成果不可分要的部分。项目奖料需符合招标方项目管理要求:提文恒应项目续料。</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陕西延审工程项目管理有限公司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联系人：郝小艳</w:t>
      </w:r>
    </w:p>
    <w:p>
      <w:pPr>
        <w:pStyle w:val="null3"/>
      </w:pPr>
      <w:r>
        <w:rPr>
          <w:rFonts w:ascii="仿宋_GB2312" w:hAnsi="仿宋_GB2312" w:cs="仿宋_GB2312" w:eastAsia="仿宋_GB2312"/>
        </w:rPr>
        <w:t>联系电话：19929659892</w:t>
      </w:r>
    </w:p>
    <w:p>
      <w:pPr>
        <w:pStyle w:val="null3"/>
      </w:pPr>
      <w:r>
        <w:rPr>
          <w:rFonts w:ascii="仿宋_GB2312" w:hAnsi="仿宋_GB2312" w:cs="仿宋_GB2312" w:eastAsia="仿宋_GB2312"/>
        </w:rPr>
        <w:t>地址：延安市新区嘉宁万兴花园写字楼21层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NAS大型网络数据存储服务器。部署分布式存储架构的NAS系统，集成多节点冗余设计、智能分级存储及多协议访问接口，支持PB级医学影像（DICOM）、临床科研数据的集中存储与高速调取。构建医院统一数据底座，提高数据可用性，存储效率提升，满足未来5年数据增长需求。 2.智能精准外科专用数据存储多平台交互系统辅助骨科成立区域医学3D打印技术应用推广中心，并建立3D模型云端数据库，推动骨科诊疗技术数智化转型，将数智技术向骨科各亚专业进行推广和扩大应用，使广大患者获得精准、微创、个体化的临床效果。通过将多元虚拟仿真技术和骨科微创内镜实体操作培训系统相结合，成立区域骨科微创智能化实操培训基地，显著提高延安地区骨科医生个体化、精准化、微创化的治疗水平。 3.“数字肺”呼吸系统疾病评价体系平台基于CT影像、肺功能及血液标志物数据，构建融合深度学习与放射组学的多模态分析平台，开发肺癌辅助诊断、肺密度量化分析、支气管扩张分析、肺叶量化分析等算法模型。协助科室建立陕北地区首个基于“数字肺”的多维度、可视化、定量化评价体系医学中心，填补区域呼吸系统疾病精准诊疗领域的空白，助力学科高质量发展，全面提升区域医疗水平。 4.COPD呼吸专病管理平台。通过搭建覆盖“筛查-诊疗-康复”全周期的慢阻肺管理平台，集成物联网设备数据采集、急性加重风险预测模型及医患互动模块，支持个性化康复计划推送与远程随访，建立呼吸专病管理平台，为区域及全国呼吸系统疾病研究提供数据支持，组建3个多学科协作团队，整合资源，构建呼吸系统疾病早期筛查与精准诊疗体系，推动技术创新与示范应用。 5.定量 CT（QCT）骨密度分析系统是基于常规CT影像的骨密度定量分析工具，集成体模校正技术、多部位测量模块及Frax骨折风险评分引擎，生成符合国际标准（ISCD）的骨质疏松、脂肪肝、肌少症、脂肪面积测量等诊断报告的软件系统。QCT具有三维高精度骨密度测量、多模态扩展分析（如脂肪/肌肉定量）及与常规CT同步扫描的低辐射便捷性等核心优势，一次检查即可获得多病共检报告，通过整合“精准测量+多模态分析+临床科研”能力，实现疾病诊断准确率提升，优化诊疗流程，构建高质量数据集，推动医学研究突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1,110,000.00</w:t>
      </w:r>
    </w:p>
    <w:p>
      <w:pPr>
        <w:pStyle w:val="null3"/>
      </w:pPr>
      <w:r>
        <w:rPr>
          <w:rFonts w:ascii="仿宋_GB2312" w:hAnsi="仿宋_GB2312" w:cs="仿宋_GB2312" w:eastAsia="仿宋_GB2312"/>
        </w:rPr>
        <w:t>采购包最高限价（元）: 1,110,000.00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数智医学中心建设项目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标的名称：数智医学中心建设项目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55" w:after="255"/>
              <w:ind w:left="570"/>
              <w:outlineLvl w:val="1"/>
            </w:pPr>
            <w:r>
              <w:rPr>
                <w:rFonts w:ascii="仿宋_GB2312" w:hAnsi="仿宋_GB2312" w:cs="仿宋_GB2312" w:eastAsia="仿宋_GB2312"/>
                <w:sz w:val="36"/>
                <w:b/>
              </w:rPr>
              <w:t>1、建设内容</w:t>
            </w:r>
          </w:p>
          <w:p>
            <w:pPr>
              <w:pStyle w:val="null3"/>
              <w:spacing w:before="255" w:after="255"/>
              <w:ind w:left="570"/>
              <w:outlineLvl w:val="1"/>
            </w:pPr>
            <w:r>
              <w:rPr>
                <w:rFonts w:ascii="仿宋_GB2312" w:hAnsi="仿宋_GB2312" w:cs="仿宋_GB2312" w:eastAsia="仿宋_GB2312"/>
                <w:sz w:val="28"/>
                <w:b/>
              </w:rPr>
              <w:t xml:space="preserve">1.1 </w:t>
            </w:r>
            <w:r>
              <w:rPr>
                <w:rFonts w:ascii="仿宋_GB2312" w:hAnsi="仿宋_GB2312" w:cs="仿宋_GB2312" w:eastAsia="仿宋_GB2312"/>
                <w:sz w:val="28"/>
                <w:b/>
              </w:rPr>
              <w:t>NAS大型网络数据存储服务器</w:t>
            </w:r>
          </w:p>
          <w:tbl>
            <w:tblPr>
              <w:tblInd w:type="dxa" w:w="90"/>
              <w:tblBorders>
                <w:top w:val="none" w:color="000000" w:sz="4"/>
                <w:left w:val="none" w:color="000000" w:sz="4"/>
                <w:bottom w:val="none" w:color="000000" w:sz="4"/>
                <w:right w:val="none" w:color="000000" w:sz="4"/>
                <w:insideH w:val="none"/>
                <w:insideV w:val="none"/>
              </w:tblBorders>
            </w:tblPr>
            <w:tblGrid>
              <w:gridCol w:w="302"/>
              <w:gridCol w:w="369"/>
              <w:gridCol w:w="638"/>
              <w:gridCol w:w="1234"/>
            </w:tblGrid>
            <w:tr>
              <w:tc>
                <w:tcPr>
                  <w:tcW w:type="dxa" w:w="3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NAS大型网络数据存储服务器</w:t>
                  </w:r>
                </w:p>
              </w:tc>
              <w:tc>
                <w:tcPr>
                  <w:tcW w:type="dxa" w:w="3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一级模块</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功能模块</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功能指标要求</w:t>
                  </w:r>
                </w:p>
              </w:tc>
            </w:tr>
            <w:tr>
              <w:tc>
                <w:tcPr>
                  <w:tcW w:type="dxa" w:w="302"/>
                  <w:vMerge/>
                  <w:tcBorders>
                    <w:top w:val="single" w:color="000000" w:sz="4"/>
                    <w:left w:val="single" w:color="000000" w:sz="4"/>
                    <w:bottom w:val="single" w:color="000000" w:sz="4"/>
                    <w:right w:val="single" w:color="000000" w:sz="4"/>
                  </w:tcBorders>
                </w:tcPr>
                <w:p/>
              </w:tc>
              <w:tc>
                <w:tcPr>
                  <w:tcW w:type="dxa" w:w="3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处理器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核心数量</w:t>
                  </w:r>
                  <w:r>
                    <w:rPr>
                      <w:rFonts w:ascii="仿宋_GB2312" w:hAnsi="仿宋_GB2312" w:cs="仿宋_GB2312" w:eastAsia="仿宋_GB2312"/>
                      <w:sz w:val="18"/>
                      <w:b/>
                      <w:color w:val="000000"/>
                    </w:rPr>
                    <w:t>≥</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10核12线程</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处理器架构</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X86</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处理器频率</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1.7GHz-4.4GHz</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工艺</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intel7</w:t>
                  </w:r>
                </w:p>
              </w:tc>
            </w:tr>
            <w:tr>
              <w:tc>
                <w:tcPr>
                  <w:tcW w:type="dxa" w:w="302"/>
                  <w:vMerge/>
                  <w:tcBorders>
                    <w:top w:val="single" w:color="000000" w:sz="4"/>
                    <w:left w:val="single" w:color="000000" w:sz="4"/>
                    <w:bottom w:val="single" w:color="000000" w:sz="4"/>
                    <w:right w:val="single" w:color="000000" w:sz="4"/>
                  </w:tcBorders>
                </w:tcP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显卡</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型号</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Intel® Iris® Xe Graphics eligibl</w:t>
                  </w:r>
                </w:p>
              </w:tc>
            </w:tr>
            <w:tr>
              <w:tc>
                <w:tcPr>
                  <w:tcW w:type="dxa" w:w="302"/>
                  <w:vMerge/>
                  <w:tcBorders>
                    <w:top w:val="single" w:color="000000" w:sz="4"/>
                    <w:left w:val="single" w:color="000000" w:sz="4"/>
                    <w:bottom w:val="single" w:color="000000" w:sz="4"/>
                    <w:right w:val="single" w:color="000000" w:sz="4"/>
                  </w:tcBorders>
                </w:tcPr>
                <w:p/>
              </w:tc>
              <w:tc>
                <w:tcPr>
                  <w:tcW w:type="dxa" w:w="3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内存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类型</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DDR5</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内存插槽总数</w:t>
                  </w:r>
                  <w:r>
                    <w:rPr>
                      <w:rFonts w:ascii="仿宋_GB2312" w:hAnsi="仿宋_GB2312" w:cs="仿宋_GB2312" w:eastAsia="仿宋_GB2312"/>
                      <w:sz w:val="18"/>
                      <w:b/>
                      <w:color w:val="000000"/>
                    </w:rPr>
                    <w:t>≥</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容量</w:t>
                  </w:r>
                  <w:r>
                    <w:rPr>
                      <w:rFonts w:ascii="仿宋_GB2312" w:hAnsi="仿宋_GB2312" w:cs="仿宋_GB2312" w:eastAsia="仿宋_GB2312"/>
                      <w:sz w:val="18"/>
                      <w:b/>
                      <w:color w:val="000000"/>
                    </w:rPr>
                    <w:t>≥</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64GB</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支持频率</w:t>
                  </w:r>
                  <w:r>
                    <w:rPr>
                      <w:rFonts w:ascii="仿宋_GB2312" w:hAnsi="仿宋_GB2312" w:cs="仿宋_GB2312" w:eastAsia="仿宋_GB2312"/>
                      <w:sz w:val="18"/>
                      <w:b/>
                      <w:color w:val="000000"/>
                    </w:rPr>
                    <w:t>≥</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4800 MHz</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ODECC</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支持</w:t>
                  </w:r>
                </w:p>
              </w:tc>
            </w:tr>
            <w:tr>
              <w:tc>
                <w:tcPr>
                  <w:tcW w:type="dxa" w:w="302"/>
                  <w:vMerge/>
                  <w:tcBorders>
                    <w:top w:val="single" w:color="000000" w:sz="4"/>
                    <w:left w:val="single" w:color="000000" w:sz="4"/>
                    <w:bottom w:val="single" w:color="000000" w:sz="4"/>
                    <w:right w:val="single" w:color="000000" w:sz="4"/>
                  </w:tcBorders>
                </w:tcP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闪存</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闪存大小</w:t>
                  </w:r>
                  <w:r>
                    <w:rPr>
                      <w:rFonts w:ascii="仿宋_GB2312" w:hAnsi="仿宋_GB2312" w:cs="仿宋_GB2312" w:eastAsia="仿宋_GB2312"/>
                      <w:sz w:val="18"/>
                      <w:b/>
                      <w:color w:val="000000"/>
                    </w:rPr>
                    <w:t>≥</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128GB</w:t>
                  </w:r>
                </w:p>
              </w:tc>
            </w:tr>
            <w:tr>
              <w:tc>
                <w:tcPr>
                  <w:tcW w:type="dxa" w:w="302"/>
                  <w:vMerge/>
                  <w:tcBorders>
                    <w:top w:val="single" w:color="000000" w:sz="4"/>
                    <w:left w:val="single" w:color="000000" w:sz="4"/>
                    <w:bottom w:val="single" w:color="000000" w:sz="4"/>
                    <w:right w:val="single" w:color="000000" w:sz="4"/>
                  </w:tcBorders>
                </w:tcPr>
                <w:p/>
              </w:tc>
              <w:tc>
                <w:tcPr>
                  <w:tcW w:type="dxa" w:w="3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SATA接口</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插槽数量</w:t>
                  </w:r>
                  <w:r>
                    <w:rPr>
                      <w:rFonts w:ascii="仿宋_GB2312" w:hAnsi="仿宋_GB2312" w:cs="仿宋_GB2312" w:eastAsia="仿宋_GB2312"/>
                      <w:sz w:val="18"/>
                      <w:b/>
                      <w:color w:val="000000"/>
                    </w:rPr>
                    <w:t>≥</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协议</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SATA3.0</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硬盘规格</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2.5英寸/3.5英寸</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SATA容量 ≥</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30Tx8</w:t>
                  </w:r>
                </w:p>
              </w:tc>
            </w:tr>
            <w:tr>
              <w:tc>
                <w:tcPr>
                  <w:tcW w:type="dxa" w:w="302"/>
                  <w:vMerge/>
                  <w:tcBorders>
                    <w:top w:val="single" w:color="000000" w:sz="4"/>
                    <w:left w:val="single" w:color="000000" w:sz="4"/>
                    <w:bottom w:val="single" w:color="000000" w:sz="4"/>
                    <w:right w:val="single" w:color="000000" w:sz="4"/>
                  </w:tcBorders>
                </w:tcPr>
                <w:p/>
              </w:tc>
              <w:tc>
                <w:tcPr>
                  <w:tcW w:type="dxa" w:w="3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M.2接口</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插槽数量</w:t>
                  </w:r>
                  <w:r>
                    <w:rPr>
                      <w:rFonts w:ascii="仿宋_GB2312" w:hAnsi="仿宋_GB2312" w:cs="仿宋_GB2312" w:eastAsia="仿宋_GB2312"/>
                      <w:sz w:val="18"/>
                      <w:b/>
                      <w:color w:val="000000"/>
                    </w:rPr>
                    <w:t>≥</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插槽种类</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M-key</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协议</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NVMe</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规格</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2280</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M.2最大存储 ≥</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4Tx2</w:t>
                  </w:r>
                </w:p>
              </w:tc>
            </w:tr>
            <w:tr>
              <w:tc>
                <w:tcPr>
                  <w:tcW w:type="dxa" w:w="302"/>
                  <w:vMerge/>
                  <w:tcBorders>
                    <w:top w:val="single" w:color="000000" w:sz="4"/>
                    <w:left w:val="single" w:color="000000" w:sz="4"/>
                    <w:bottom w:val="single" w:color="000000" w:sz="4"/>
                    <w:right w:val="single" w:color="000000" w:sz="4"/>
                  </w:tcBorders>
                </w:tcPr>
                <w:p/>
              </w:tc>
              <w:tc>
                <w:tcPr>
                  <w:tcW w:type="dxa" w:w="3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网络</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网卡型号</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网口速率</w:t>
                  </w:r>
                  <w:r>
                    <w:rPr>
                      <w:rFonts w:ascii="仿宋_GB2312" w:hAnsi="仿宋_GB2312" w:cs="仿宋_GB2312" w:eastAsia="仿宋_GB2312"/>
                      <w:sz w:val="18"/>
                      <w:b/>
                      <w:color w:val="000000"/>
                    </w:rPr>
                    <w:t>≤</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10Gbps</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网络接口</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10GbE*2</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WIFI</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r>
            <w:tr>
              <w:tc>
                <w:tcPr>
                  <w:tcW w:type="dxa" w:w="302"/>
                  <w:vMerge/>
                  <w:tcBorders>
                    <w:top w:val="single" w:color="000000" w:sz="4"/>
                    <w:left w:val="single" w:color="000000" w:sz="4"/>
                    <w:bottom w:val="single" w:color="000000" w:sz="4"/>
                    <w:right w:val="single" w:color="000000" w:sz="4"/>
                  </w:tcBorders>
                </w:tcPr>
                <w:p/>
              </w:tc>
              <w:tc>
                <w:tcPr>
                  <w:tcW w:type="dxa" w:w="3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接口支持</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PCIE扩展</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X4*1</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雷电</w:t>
                  </w:r>
                  <w:r>
                    <w:rPr>
                      <w:rFonts w:ascii="仿宋_GB2312" w:hAnsi="仿宋_GB2312" w:cs="仿宋_GB2312" w:eastAsia="仿宋_GB2312"/>
                      <w:sz w:val="18"/>
                      <w:b/>
                      <w:color w:val="000000"/>
                    </w:rPr>
                    <w:t>4接口</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TBT4*2</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USB3</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前置</w:t>
                  </w:r>
                  <w:r>
                    <w:rPr>
                      <w:rFonts w:ascii="仿宋_GB2312" w:hAnsi="仿宋_GB2312" w:cs="仿宋_GB2312" w:eastAsia="仿宋_GB2312"/>
                      <w:sz w:val="18"/>
                      <w:color w:val="000000"/>
                    </w:rPr>
                    <w:t>: 2*TBT4+1*USB3.2 Gen2</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后置</w:t>
                  </w:r>
                  <w:r>
                    <w:rPr>
                      <w:rFonts w:ascii="仿宋_GB2312" w:hAnsi="仿宋_GB2312" w:cs="仿宋_GB2312" w:eastAsia="仿宋_GB2312"/>
                      <w:sz w:val="18"/>
                      <w:color w:val="000000"/>
                    </w:rPr>
                    <w:t>: 1*USB3.2 Gen2</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USB2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后置</w:t>
                  </w:r>
                  <w:r>
                    <w:rPr>
                      <w:rFonts w:ascii="仿宋_GB2312" w:hAnsi="仿宋_GB2312" w:cs="仿宋_GB2312" w:eastAsia="仿宋_GB2312"/>
                      <w:sz w:val="18"/>
                      <w:color w:val="000000"/>
                    </w:rPr>
                    <w:t>: 2*USB2.0</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SD Card</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SD 4.0</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HDMI</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最高</w:t>
                  </w:r>
                  <w:r>
                    <w:rPr>
                      <w:rFonts w:ascii="仿宋_GB2312" w:hAnsi="仿宋_GB2312" w:cs="仿宋_GB2312" w:eastAsia="仿宋_GB2312"/>
                      <w:sz w:val="18"/>
                      <w:color w:val="000000"/>
                    </w:rPr>
                    <w:t>8K@60Hz</w:t>
                  </w:r>
                </w:p>
              </w:tc>
            </w:tr>
            <w:tr>
              <w:tc>
                <w:tcPr>
                  <w:tcW w:type="dxa" w:w="302"/>
                  <w:vMerge/>
                  <w:tcBorders>
                    <w:top w:val="single" w:color="000000" w:sz="4"/>
                    <w:left w:val="single" w:color="000000" w:sz="4"/>
                    <w:bottom w:val="single" w:color="000000" w:sz="4"/>
                    <w:right w:val="single" w:color="000000" w:sz="4"/>
                  </w:tcBorders>
                </w:tcPr>
                <w:p/>
              </w:tc>
              <w:tc>
                <w:tcPr>
                  <w:tcW w:type="dxa" w:w="3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其他</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硬盘童锁</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支持</w:t>
                  </w:r>
                </w:p>
              </w:tc>
            </w:tr>
            <w:tr>
              <w:tc>
                <w:tcPr>
                  <w:tcW w:type="dxa" w:w="302"/>
                  <w:vMerge/>
                  <w:tcBorders>
                    <w:top w:val="single" w:color="000000" w:sz="4"/>
                    <w:left w:val="single" w:color="000000" w:sz="4"/>
                    <w:bottom w:val="single" w:color="000000" w:sz="4"/>
                    <w:right w:val="single" w:color="000000" w:sz="4"/>
                  </w:tcBorders>
                </w:tcPr>
                <w:p/>
              </w:tc>
              <w:tc>
                <w:tcPr>
                  <w:tcW w:type="dxa" w:w="369"/>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设备桌面锁</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支持</w:t>
                  </w:r>
                </w:p>
              </w:tc>
            </w:tr>
            <w:tr>
              <w:tc>
                <w:tcPr>
                  <w:tcW w:type="dxa" w:w="302"/>
                  <w:vMerge/>
                  <w:tcBorders>
                    <w:top w:val="single" w:color="000000" w:sz="4"/>
                    <w:left w:val="single" w:color="000000" w:sz="4"/>
                    <w:bottom w:val="single" w:color="000000" w:sz="4"/>
                    <w:right w:val="single" w:color="000000" w:sz="4"/>
                  </w:tcBorders>
                </w:tcP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质保期</w:t>
                  </w:r>
                  <w:r>
                    <w:rPr>
                      <w:rFonts w:ascii="仿宋_GB2312" w:hAnsi="仿宋_GB2312" w:cs="仿宋_GB2312" w:eastAsia="仿宋_GB2312"/>
                      <w:sz w:val="18"/>
                      <w:b/>
                      <w:color w:val="000000"/>
                    </w:rPr>
                    <w:t>≥</w:t>
                  </w:r>
                </w:p>
              </w:tc>
              <w:tc>
                <w:tcPr>
                  <w:tcW w:type="dxa" w:w="1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3年</w:t>
                  </w:r>
                </w:p>
              </w:tc>
            </w:tr>
          </w:tbl>
          <w:p>
            <w:pPr>
              <w:pStyle w:val="null3"/>
            </w:pPr>
            <w:r>
              <w:rPr>
                <w:rFonts w:ascii="仿宋_GB2312" w:hAnsi="仿宋_GB2312" w:cs="仿宋_GB2312" w:eastAsia="仿宋_GB2312"/>
                <w:sz w:val="28"/>
                <w:b/>
              </w:rPr>
              <w:t>1.2 智能精准外科专用数据存储多平台交互系统</w:t>
            </w:r>
          </w:p>
          <w:tbl>
            <w:tblPr>
              <w:tblInd w:type="dxa" w:w="90"/>
              <w:tblBorders>
                <w:top w:val="none" w:color="000000" w:sz="4"/>
                <w:left w:val="none" w:color="000000" w:sz="4"/>
                <w:bottom w:val="none" w:color="000000" w:sz="4"/>
                <w:right w:val="none" w:color="000000" w:sz="4"/>
                <w:insideH w:val="none"/>
                <w:insideV w:val="none"/>
              </w:tblBorders>
            </w:tblPr>
            <w:tblGrid>
              <w:gridCol w:w="302"/>
              <w:gridCol w:w="264"/>
              <w:gridCol w:w="516"/>
              <w:gridCol w:w="1465"/>
            </w:tblGrid>
            <w:tr>
              <w:tc>
                <w:tcPr>
                  <w:tcW w:type="dxa" w:w="302"/>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pP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一级模块</w:t>
                  </w:r>
                </w:p>
              </w:tc>
              <w:tc>
                <w:tcPr>
                  <w:tcW w:type="dxa" w:w="1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功能模块</w:t>
                  </w:r>
                </w:p>
              </w:tc>
            </w:tr>
            <w:tr>
              <w:tc>
                <w:tcPr>
                  <w:tcW w:type="dxa" w:w="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智能精准外科专用数据存储多平台交互系统</w:t>
                  </w:r>
                </w:p>
              </w:tc>
              <w:tc>
                <w:tcPr>
                  <w:tcW w:type="dxa" w:w="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软件平台</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独立账号登录模块</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通过独立账号、采用符合国密算法</w:t>
                  </w:r>
                  <w:r>
                    <w:rPr>
                      <w:rFonts w:ascii="仿宋_GB2312" w:hAnsi="仿宋_GB2312" w:cs="仿宋_GB2312" w:eastAsia="仿宋_GB2312"/>
                      <w:sz w:val="18"/>
                      <w:color w:val="000000"/>
                    </w:rPr>
                    <w:t>SM3的密码标准、加密狗Ukey混合模式登录后，方可进入到软件的操作页面，读取到相关的医疗三维数据，主要用于保障用户的三维重建数据以及手术术前规划三维设计安全性，确保用户数据不泄露或被第三方获取，对用户登录状态和数据访问权限进行管理。未经本公司授权用户均无法访问本软件。</w:t>
                  </w:r>
                </w:p>
              </w:tc>
            </w:tr>
            <w:tr>
              <w:tc>
                <w:tcPr>
                  <w:tcW w:type="dxa" w:w="302"/>
                  <w:vMerge/>
                  <w:tcBorders>
                    <w:top w:val="none" w:color="000000" w:sz="4"/>
                    <w:left w:val="single" w:color="000000" w:sz="4"/>
                    <w:bottom w:val="single" w:color="000000" w:sz="4"/>
                    <w:right w:val="single" w:color="000000" w:sz="4"/>
                  </w:tcBorders>
                </w:tcPr>
                <w:p/>
              </w:tc>
              <w:tc>
                <w:tcPr>
                  <w:tcW w:type="dxa" w:w="264"/>
                  <w:vMerge/>
                  <w:tcBorders>
                    <w:top w:val="none" w:color="000000" w:sz="4"/>
                    <w:left w:val="non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独立患者档案模块</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对于每一个独立的患者建立独立的档案，并且生成独立的</w:t>
                  </w:r>
                  <w:r>
                    <w:rPr>
                      <w:rFonts w:ascii="仿宋_GB2312" w:hAnsi="仿宋_GB2312" w:cs="仿宋_GB2312" w:eastAsia="仿宋_GB2312"/>
                      <w:sz w:val="18"/>
                      <w:color w:val="000000"/>
                    </w:rPr>
                    <w:t>UID。该项电子病历存储患者该次手术设计的重建模型、导板模型以及其他可能应用的 3D 模型。同时， 具备转发功能，可以分享 给患者进行观看，数据采用腾讯云COS存储，实时备份，定时执行数据库数据文件双机热备份操作、以达到容灾机制，保证出现问题时数据易恢复，规避了数据丢失的风险。</w:t>
                  </w:r>
                </w:p>
              </w:tc>
            </w:tr>
            <w:tr>
              <w:tc>
                <w:tcPr>
                  <w:tcW w:type="dxa" w:w="302"/>
                  <w:vMerge/>
                  <w:tcBorders>
                    <w:top w:val="none" w:color="000000" w:sz="4"/>
                    <w:left w:val="single" w:color="000000" w:sz="4"/>
                    <w:bottom w:val="single" w:color="000000" w:sz="4"/>
                    <w:right w:val="single" w:color="000000" w:sz="4"/>
                  </w:tcBorders>
                </w:tcPr>
                <w:p/>
              </w:tc>
              <w:tc>
                <w:tcPr>
                  <w:tcW w:type="dxa" w:w="264"/>
                  <w:vMerge/>
                  <w:tcBorders>
                    <w:top w:val="none" w:color="000000" w:sz="4"/>
                    <w:left w:val="none" w:color="000000" w:sz="4"/>
                    <w:bottom w:val="single" w:color="000000" w:sz="4"/>
                    <w:right w:val="single" w:color="000000" w:sz="4"/>
                  </w:tcBorders>
                </w:tcPr>
                <w:p/>
              </w:tc>
              <w:tc>
                <w:tcPr>
                  <w:tcW w:type="dxa" w:w="51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病例包含协助档案以及患者档案，并包含以下信息</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档案名、档案号、档案日期、档案类别、转发档案按钮</w:t>
                  </w:r>
                </w:p>
              </w:tc>
            </w:tr>
            <w:tr>
              <w:tc>
                <w:tcPr>
                  <w:tcW w:type="dxa" w:w="302"/>
                  <w:vMerge/>
                  <w:tcBorders>
                    <w:top w:val="none" w:color="000000" w:sz="4"/>
                    <w:left w:val="single" w:color="000000" w:sz="4"/>
                    <w:bottom w:val="single" w:color="000000" w:sz="4"/>
                    <w:right w:val="single" w:color="000000" w:sz="4"/>
                  </w:tcBorders>
                </w:tcPr>
                <w:p/>
              </w:tc>
              <w:tc>
                <w:tcPr>
                  <w:tcW w:type="dxa" w:w="264"/>
                  <w:vMerge/>
                  <w:tcBorders>
                    <w:top w:val="none" w:color="000000" w:sz="4"/>
                    <w:left w:val="none" w:color="000000" w:sz="4"/>
                    <w:bottom w:val="single" w:color="000000" w:sz="4"/>
                    <w:right w:val="single" w:color="000000" w:sz="4"/>
                  </w:tcBorders>
                </w:tcPr>
                <w:p/>
              </w:tc>
              <w:tc>
                <w:tcPr>
                  <w:tcW w:type="dxa" w:w="516"/>
                  <w:vMerge/>
                  <w:tcBorders>
                    <w:top w:val="none" w:color="000000" w:sz="4"/>
                    <w:left w:val="none" w:color="000000" w:sz="4"/>
                    <w:bottom w:val="single" w:color="000000" w:sz="4"/>
                    <w:right w:val="single" w:color="000000" w:sz="4"/>
                  </w:tcBorders>
                </w:tcP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每个档案中包含患者档案、手术设计、效果预测、术后随访四大信息模块</w:t>
                  </w:r>
                  <w:r>
                    <w:rPr>
                      <w:rFonts w:ascii="仿宋_GB2312" w:hAnsi="仿宋_GB2312" w:cs="仿宋_GB2312" w:eastAsia="仿宋_GB2312"/>
                      <w:sz w:val="18"/>
                      <w:color w:val="000000"/>
                    </w:rPr>
                    <w:t>,存储对应的数据,帮助用户模块化的存放病例数据以及信息。</w:t>
                  </w:r>
                </w:p>
              </w:tc>
            </w:tr>
            <w:tr>
              <w:tc>
                <w:tcPr>
                  <w:tcW w:type="dxa" w:w="302"/>
                  <w:vMerge/>
                  <w:tcBorders>
                    <w:top w:val="none" w:color="000000" w:sz="4"/>
                    <w:left w:val="single" w:color="000000" w:sz="4"/>
                    <w:bottom w:val="single" w:color="000000" w:sz="4"/>
                    <w:right w:val="single" w:color="000000" w:sz="4"/>
                  </w:tcBorders>
                </w:tcPr>
                <w:p/>
              </w:tc>
              <w:tc>
                <w:tcPr>
                  <w:tcW w:type="dxa" w:w="264"/>
                  <w:vMerge/>
                  <w:tcBorders>
                    <w:top w:val="none" w:color="000000" w:sz="4"/>
                    <w:left w:val="non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手术方法库模块</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手术方法库主要用于展示手术方案的基本信息，该项功能详细描述了每种手术方式的操作步骤、技术要点以及预期的术后效果，从而更好地让用户理解并应用这些手术技术。</w:t>
                  </w:r>
                </w:p>
              </w:tc>
            </w:tr>
            <w:tr>
              <w:tc>
                <w:tcPr>
                  <w:tcW w:type="dxa" w:w="302"/>
                  <w:vMerge/>
                  <w:tcBorders>
                    <w:top w:val="none" w:color="000000" w:sz="4"/>
                    <w:left w:val="single" w:color="000000" w:sz="4"/>
                    <w:bottom w:val="single" w:color="000000" w:sz="4"/>
                    <w:right w:val="single" w:color="000000" w:sz="4"/>
                  </w:tcBorders>
                </w:tcPr>
                <w:p/>
              </w:tc>
              <w:tc>
                <w:tcPr>
                  <w:tcW w:type="dxa" w:w="264"/>
                  <w:vMerge/>
                  <w:tcBorders>
                    <w:top w:val="none" w:color="000000" w:sz="4"/>
                    <w:left w:val="non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信息监控模块</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信息管理模块为用户使用应用时服务周期管理，应包含的基础信息有：订单号、对应病例、</w:t>
                  </w:r>
                  <w:r>
                    <w:rPr>
                      <w:rFonts w:ascii="仿宋_GB2312" w:hAnsi="仿宋_GB2312" w:cs="仿宋_GB2312" w:eastAsia="仿宋_GB2312"/>
                      <w:sz w:val="18"/>
                      <w:color w:val="000000"/>
                    </w:rPr>
                    <w:t>服务内容、服务状态，同时对患者的数据使用情况进行异常监控，保障患者数据不丢失，采用基于角色的操作授权机制，避免用户授权过度，防止数据泄露或被误操作，本软件对用户操作进行日志记录，并按周期进行永久保存的归档操作，即可用来筛查具有安全隐患的操作行为，也可以在出现不可预期问题时核查记录查明原因。</w:t>
                  </w:r>
                </w:p>
              </w:tc>
            </w:tr>
            <w:tr>
              <w:tc>
                <w:tcPr>
                  <w:tcW w:type="dxa" w:w="302"/>
                  <w:vMerge/>
                  <w:tcBorders>
                    <w:top w:val="none" w:color="000000" w:sz="4"/>
                    <w:left w:val="single" w:color="000000" w:sz="4"/>
                    <w:bottom w:val="single" w:color="000000" w:sz="4"/>
                    <w:right w:val="single" w:color="000000" w:sz="4"/>
                  </w:tcBorders>
                </w:tcPr>
                <w:p/>
              </w:tc>
              <w:tc>
                <w:tcPr>
                  <w:tcW w:type="dxa" w:w="264"/>
                  <w:vMerge/>
                  <w:tcBorders>
                    <w:top w:val="none" w:color="000000" w:sz="4"/>
                    <w:left w:val="non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三维显示、操作模块</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该模块需求三维图形渲染与交互技术。在这个模块中，通过云服务技术高效的数据传输及展示用户可以自由地浏览、旋转、缩放、</w:t>
                  </w:r>
                  <w:r>
                    <w:rPr>
                      <w:rFonts w:ascii="仿宋_GB2312" w:hAnsi="仿宋_GB2312" w:cs="仿宋_GB2312" w:eastAsia="仿宋_GB2312"/>
                      <w:sz w:val="18"/>
                      <w:color w:val="000000"/>
                    </w:rPr>
                    <w:t>标记三维模型，进行交互式的测重、测距等操作，从而获得对解剖结构、手术路径以及病变区域的深刻理解。</w:t>
                  </w:r>
                </w:p>
              </w:tc>
            </w:tr>
            <w:tr>
              <w:tc>
                <w:tcPr>
                  <w:tcW w:type="dxa" w:w="302"/>
                  <w:vMerge/>
                  <w:tcBorders>
                    <w:top w:val="none" w:color="000000" w:sz="4"/>
                    <w:left w:val="single" w:color="000000" w:sz="4"/>
                    <w:bottom w:val="single" w:color="000000" w:sz="4"/>
                    <w:right w:val="single" w:color="000000" w:sz="4"/>
                  </w:tcBorders>
                </w:tcPr>
                <w:p/>
              </w:tc>
              <w:tc>
                <w:tcPr>
                  <w:tcW w:type="dxa" w:w="264"/>
                  <w:vMerge/>
                  <w:tcBorders>
                    <w:top w:val="none" w:color="000000" w:sz="4"/>
                    <w:left w:val="non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系统内嵌通知、沟通系统</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内置、独立的沟通系统，系统内的聊天系统用户以及病例讨论组之间的交流能够直接转发系统中的数据有效提高沟通效率。通知系统可有效地降低由于忙碌导致的漏读、误读信息的情况令用户及时响应到相关信息。</w:t>
                  </w:r>
                </w:p>
              </w:tc>
            </w:tr>
            <w:tr>
              <w:tc>
                <w:tcPr>
                  <w:tcW w:type="dxa" w:w="302"/>
                  <w:vMerge/>
                  <w:tcBorders>
                    <w:top w:val="none" w:color="000000" w:sz="4"/>
                    <w:left w:val="single" w:color="000000" w:sz="4"/>
                    <w:bottom w:val="single" w:color="000000" w:sz="4"/>
                    <w:right w:val="single" w:color="000000" w:sz="4"/>
                  </w:tcBorders>
                </w:tcPr>
                <w:p/>
              </w:tc>
              <w:tc>
                <w:tcPr>
                  <w:tcW w:type="dxa" w:w="264"/>
                  <w:vMerge/>
                  <w:tcBorders>
                    <w:top w:val="none" w:color="000000" w:sz="4"/>
                    <w:left w:val="non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模型库模块</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存储模型及模型数据</w:t>
                  </w:r>
                  <w:r>
                    <w:rPr>
                      <w:rFonts w:ascii="仿宋_GB2312" w:hAnsi="仿宋_GB2312" w:cs="仿宋_GB2312" w:eastAsia="仿宋_GB2312"/>
                      <w:sz w:val="18"/>
                      <w:color w:val="000000"/>
                    </w:rPr>
                    <w:t>,</w:t>
                  </w:r>
                  <w:r>
                    <w:rPr>
                      <w:rFonts w:ascii="仿宋_GB2312" w:hAnsi="仿宋_GB2312" w:cs="仿宋_GB2312" w:eastAsia="仿宋_GB2312"/>
                      <w:sz w:val="18"/>
                      <w:color w:val="000000"/>
                    </w:rPr>
                    <w:t>同时具备转发功能</w:t>
                  </w:r>
                  <w:r>
                    <w:rPr>
                      <w:rFonts w:ascii="仿宋_GB2312" w:hAnsi="仿宋_GB2312" w:cs="仿宋_GB2312" w:eastAsia="仿宋_GB2312"/>
                      <w:sz w:val="18"/>
                      <w:color w:val="000000"/>
                    </w:rPr>
                    <w:t>,</w:t>
                  </w:r>
                  <w:r>
                    <w:rPr>
                      <w:rFonts w:ascii="仿宋_GB2312" w:hAnsi="仿宋_GB2312" w:cs="仿宋_GB2312" w:eastAsia="仿宋_GB2312"/>
                      <w:sz w:val="18"/>
                      <w:color w:val="000000"/>
                    </w:rPr>
                    <w:t>方便用户和用户之间通过模型的展示快速理解模型信息</w:t>
                  </w:r>
                </w:p>
              </w:tc>
            </w:tr>
            <w:tr>
              <w:tc>
                <w:tcPr>
                  <w:tcW w:type="dxa" w:w="302"/>
                  <w:vMerge/>
                  <w:tcBorders>
                    <w:top w:val="none" w:color="000000" w:sz="4"/>
                    <w:left w:val="single" w:color="000000" w:sz="4"/>
                    <w:bottom w:val="single" w:color="000000" w:sz="4"/>
                    <w:right w:val="single" w:color="000000" w:sz="4"/>
                  </w:tcBorders>
                </w:tcPr>
                <w:p/>
              </w:tc>
              <w:tc>
                <w:tcPr>
                  <w:tcW w:type="dxa" w:w="264"/>
                  <w:vMerge/>
                  <w:tcBorders>
                    <w:top w:val="none" w:color="000000" w:sz="4"/>
                    <w:left w:val="non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XR</w:t>
                  </w:r>
                  <w:r>
                    <w:rPr>
                      <w:rFonts w:ascii="仿宋_GB2312" w:hAnsi="仿宋_GB2312" w:cs="仿宋_GB2312" w:eastAsia="仿宋_GB2312"/>
                      <w:sz w:val="18"/>
                      <w:b/>
                      <w:color w:val="000000"/>
                    </w:rPr>
                    <w:t>显示模块</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通过软件可将模型投放到已绑定的</w:t>
                  </w:r>
                  <w:r>
                    <w:rPr>
                      <w:rFonts w:ascii="仿宋_GB2312" w:hAnsi="仿宋_GB2312" w:cs="仿宋_GB2312" w:eastAsia="仿宋_GB2312"/>
                      <w:sz w:val="18"/>
                      <w:color w:val="000000"/>
                    </w:rPr>
                    <w:t>VR</w:t>
                  </w:r>
                  <w:r>
                    <w:rPr>
                      <w:rFonts w:ascii="仿宋_GB2312" w:hAnsi="仿宋_GB2312" w:cs="仿宋_GB2312" w:eastAsia="仿宋_GB2312"/>
                      <w:sz w:val="18"/>
                      <w:color w:val="000000"/>
                    </w:rPr>
                    <w:t>设备</w:t>
                  </w:r>
                  <w:r>
                    <w:rPr>
                      <w:rFonts w:ascii="仿宋_GB2312" w:hAnsi="仿宋_GB2312" w:cs="仿宋_GB2312" w:eastAsia="仿宋_GB2312"/>
                      <w:sz w:val="18"/>
                      <w:color w:val="000000"/>
                    </w:rPr>
                    <w:t>,</w:t>
                  </w:r>
                  <w:r>
                    <w:rPr>
                      <w:rFonts w:ascii="仿宋_GB2312" w:hAnsi="仿宋_GB2312" w:cs="仿宋_GB2312" w:eastAsia="仿宋_GB2312"/>
                      <w:sz w:val="18"/>
                      <w:color w:val="000000"/>
                    </w:rPr>
                    <w:t>通过</w:t>
                  </w:r>
                  <w:r>
                    <w:rPr>
                      <w:rFonts w:ascii="仿宋_GB2312" w:hAnsi="仿宋_GB2312" w:cs="仿宋_GB2312" w:eastAsia="仿宋_GB2312"/>
                      <w:sz w:val="18"/>
                      <w:color w:val="000000"/>
                    </w:rPr>
                    <w:t>VR</w:t>
                  </w:r>
                  <w:r>
                    <w:rPr>
                      <w:rFonts w:ascii="仿宋_GB2312" w:hAnsi="仿宋_GB2312" w:cs="仿宋_GB2312" w:eastAsia="仿宋_GB2312"/>
                      <w:sz w:val="18"/>
                      <w:color w:val="000000"/>
                    </w:rPr>
                    <w:t>设备展现虚拟现实场景的模型，为用户提供一种更直观的模型展示方式</w:t>
                  </w:r>
                  <w:r>
                    <w:rPr>
                      <w:rFonts w:ascii="仿宋_GB2312" w:hAnsi="仿宋_GB2312" w:cs="仿宋_GB2312" w:eastAsia="仿宋_GB2312"/>
                      <w:sz w:val="18"/>
                      <w:color w:val="000000"/>
                    </w:rPr>
                    <w:t>,</w:t>
                  </w:r>
                  <w:r>
                    <w:rPr>
                      <w:rFonts w:ascii="仿宋_GB2312" w:hAnsi="仿宋_GB2312" w:cs="仿宋_GB2312" w:eastAsia="仿宋_GB2312"/>
                      <w:sz w:val="18"/>
                      <w:color w:val="000000"/>
                    </w:rPr>
                    <w:t>通过</w:t>
                  </w:r>
                  <w:r>
                    <w:rPr>
                      <w:rFonts w:ascii="仿宋_GB2312" w:hAnsi="仿宋_GB2312" w:cs="仿宋_GB2312" w:eastAsia="仿宋_GB2312"/>
                      <w:sz w:val="18"/>
                      <w:color w:val="000000"/>
                    </w:rPr>
                    <w:t>VR</w:t>
                  </w:r>
                  <w:r>
                    <w:rPr>
                      <w:rFonts w:ascii="仿宋_GB2312" w:hAnsi="仿宋_GB2312" w:cs="仿宋_GB2312" w:eastAsia="仿宋_GB2312"/>
                      <w:sz w:val="18"/>
                      <w:color w:val="000000"/>
                    </w:rPr>
                    <w:t>虚拟现实技术将抽象的模型概念直接带到现实中来，方便用户对模型数据的对比和浏览。</w:t>
                  </w:r>
                </w:p>
              </w:tc>
            </w:tr>
            <w:tr>
              <w:tc>
                <w:tcPr>
                  <w:tcW w:type="dxa" w:w="302"/>
                  <w:vMerge/>
                  <w:tcBorders>
                    <w:top w:val="none" w:color="000000" w:sz="4"/>
                    <w:left w:val="single" w:color="000000" w:sz="4"/>
                    <w:bottom w:val="single" w:color="000000" w:sz="4"/>
                    <w:right w:val="single" w:color="000000" w:sz="4"/>
                  </w:tcBorders>
                </w:tcPr>
                <w:p/>
              </w:tc>
              <w:tc>
                <w:tcPr>
                  <w:tcW w:type="dxa" w:w="2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硬件及服务</w:t>
                  </w: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服务器</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云服务器；采用全新的存储技术，实现模型突破空间情况，在任何角落均可以实现高速数据读取、下载及使用。保证软件的正常使用，符合医院网络安全要求。</w:t>
                  </w:r>
                </w:p>
              </w:tc>
            </w:tr>
            <w:tr>
              <w:tc>
                <w:tcPr>
                  <w:tcW w:type="dxa" w:w="302"/>
                  <w:vMerge/>
                  <w:tcBorders>
                    <w:top w:val="none" w:color="000000" w:sz="4"/>
                    <w:left w:val="single" w:color="000000" w:sz="4"/>
                    <w:bottom w:val="single" w:color="000000" w:sz="4"/>
                    <w:right w:val="single" w:color="000000" w:sz="4"/>
                  </w:tcBorders>
                </w:tcPr>
                <w:p/>
              </w:tc>
              <w:tc>
                <w:tcPr>
                  <w:tcW w:type="dxa" w:w="264"/>
                  <w:vMerge/>
                  <w:tcBorders>
                    <w:top w:val="none" w:color="000000" w:sz="4"/>
                    <w:left w:val="none" w:color="000000" w:sz="4"/>
                    <w:bottom w:val="single" w:color="000000" w:sz="4"/>
                    <w:right w:val="single" w:color="000000" w:sz="4"/>
                  </w:tcBorders>
                </w:tcPr>
                <w:p/>
              </w:tc>
              <w:tc>
                <w:tcPr>
                  <w:tcW w:type="dxa" w:w="5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接口对接</w:t>
                  </w:r>
                </w:p>
              </w:tc>
              <w:tc>
                <w:tcPr>
                  <w:tcW w:type="dxa" w:w="1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满足各类设备对接</w:t>
                  </w:r>
                </w:p>
              </w:tc>
            </w:tr>
          </w:tbl>
          <w:p>
            <w:pPr>
              <w:pStyle w:val="null3"/>
            </w:pPr>
            <w:r>
              <w:rPr>
                <w:rFonts w:ascii="仿宋_GB2312" w:hAnsi="仿宋_GB2312" w:cs="仿宋_GB2312" w:eastAsia="仿宋_GB2312"/>
                <w:sz w:val="28"/>
                <w:b/>
              </w:rPr>
              <w:t>1.3 “数字肺”呼吸系统疾病评价体系平台</w:t>
            </w:r>
          </w:p>
          <w:tbl>
            <w:tblPr>
              <w:tblInd w:type="dxa" w:w="90"/>
              <w:tblBorders>
                <w:top w:val="none" w:color="000000" w:sz="4"/>
                <w:left w:val="none" w:color="000000" w:sz="4"/>
                <w:bottom w:val="none" w:color="000000" w:sz="4"/>
                <w:right w:val="none" w:color="000000" w:sz="4"/>
                <w:insideH w:val="none"/>
                <w:insideV w:val="none"/>
              </w:tblBorders>
            </w:tblPr>
            <w:tblGrid>
              <w:gridCol w:w="282"/>
              <w:gridCol w:w="345"/>
              <w:gridCol w:w="596"/>
              <w:gridCol w:w="1156"/>
              <w:gridCol w:w="168"/>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一级模块</w:t>
                  </w:r>
                </w:p>
              </w:tc>
              <w:tc>
                <w:tcPr>
                  <w:tcW w:type="dxa" w:w="115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功能模块</w:t>
                  </w:r>
                </w:p>
              </w:tc>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数量</w:t>
                  </w:r>
                </w:p>
              </w:tc>
            </w:tr>
            <w:tr>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“数字肺”呼吸系统疾病评价体系平台</w:t>
                  </w: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“数字肺”呼吸系统疾病评价体系软件平台</w:t>
                  </w: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肺癌辅助诊断</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肺结节检出及列表</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支持实性结节的自动检测、分割、边界勾勒</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支持部分实性结节的自动检测、分割边界勾勒</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支持磨玻璃结节的自动检测、分割、边界勾勒</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结节恶性概率评估</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结节得分计算</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结节体积计算</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结节表面积计算</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结节最大直径、平均直径计算</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结节非实性比例计算</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结节平均密度计算</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结节不规则性评价</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针对有钙化的结节进行钙化体积的计算</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自动结节配准功能</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结节跟踪的对比量化功能</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自动生成基于</w:t>
                  </w:r>
                  <w:r>
                    <w:rPr>
                      <w:rFonts w:ascii="仿宋_GB2312" w:hAnsi="仿宋_GB2312" w:cs="仿宋_GB2312" w:eastAsia="仿宋_GB2312"/>
                      <w:sz w:val="18"/>
                      <w:color w:val="000000"/>
                    </w:rPr>
                    <w:t>Lung-Rads 等评估标准的诊断结果</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自动生成肺结节跟踪柱状图</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自动生成肺结节密度直方图</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自动生成结构化量化报告</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支持多平面联动定位肺结节</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支持人机交互添加、删除、修正肺结节</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肺密度量化分析</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自动识别分割每个肺叶内的肺气肿</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支持自动量化肺气肿或者空气潴留区域</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支持肺气肿的三维可视化，支持肺气肿与肺叶的参照显示，肺气肿与支气管结构的参照显示</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支持各种量化指标，包括肺气肿体积、百分比、平均密度、异质性等</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支持肺气肿体积基于区域的分布柱状图；支持肺气肿体积基于密度以及肺部结构的密度直方图</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支持慢阻肺的辅助诊断</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支持人机交互添加、删除、修正肺气肿</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支持肺气肿与</w:t>
                  </w:r>
                  <w:r>
                    <w:rPr>
                      <w:rFonts w:ascii="仿宋_GB2312" w:hAnsi="仿宋_GB2312" w:cs="仿宋_GB2312" w:eastAsia="仿宋_GB2312"/>
                      <w:sz w:val="18"/>
                      <w:color w:val="000000"/>
                    </w:rPr>
                    <w:t>MPR 三视图的同步定位</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支持肺大泡的识别及分割</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一键生成肺减容术前评估报告</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支气管扩张分析</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支持支气管扩张的自动识别、标注及三维可视化</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支持多平面联动精确定位支气管扩张位置</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支持支气管各种量化指标，包括内腔横截面、内直径、扩张程度等</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支持支气管半径变化跟踪图</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支持支气管横截面显示图</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支持支气管扩张的自动识别、标注及三维可视化</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支持多平面联动精确定位支气管扩张位置</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支持支气管各种量化指标，包括内腔横截面、内直径、扩张程度等</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支持支气管半径变化跟踪图</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虚拟支气管内窥镜</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支持支气管横截面显示图</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支持三维全自动分割、量化支气管壁厚，支持支气管内壁、外壁的标注以及显示</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支持支气管横截面显示图</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支持虚拟支气管漫游路径的选择</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在漫游的同时，多平面联动精确定位当前视点位置</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支持支气管漫游中对肺结节取样的路径规划</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支持漫游当前视点支气管的各种量化指标，包括横截面积、直径、周长等</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肺裂</w:t>
                  </w:r>
                  <w:r>
                    <w:rPr>
                      <w:rFonts w:ascii="仿宋_GB2312" w:hAnsi="仿宋_GB2312" w:cs="仿宋_GB2312" w:eastAsia="仿宋_GB2312"/>
                      <w:sz w:val="18"/>
                      <w:b/>
                      <w:color w:val="000000"/>
                    </w:rPr>
                    <w:t>/肺叶量化分析</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支持自动识别、标注肺裂（包括其完整度）</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支持肺裂的</w:t>
                  </w:r>
                  <w:r>
                    <w:rPr>
                      <w:rFonts w:ascii="仿宋_GB2312" w:hAnsi="仿宋_GB2312" w:cs="仿宋_GB2312" w:eastAsia="仿宋_GB2312"/>
                      <w:sz w:val="18"/>
                      <w:color w:val="000000"/>
                    </w:rPr>
                    <w:t>MPR 三视图同步定位</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支持肺裂各种量化指标，包括平均密度、表面积、完整度、曲度等</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支持人机交互对肺裂进行分割</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支持人机交互对自动分割肺裂的修正</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支持肺裂种类的重新分类</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支持肺叶的自动分割及三维可视化</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支持自动识别、标注肺叶</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支持肺叶的</w:t>
                  </w:r>
                  <w:r>
                    <w:rPr>
                      <w:rFonts w:ascii="仿宋_GB2312" w:hAnsi="仿宋_GB2312" w:cs="仿宋_GB2312" w:eastAsia="仿宋_GB2312"/>
                      <w:sz w:val="18"/>
                      <w:color w:val="000000"/>
                    </w:rPr>
                    <w:t>MPR 三视图同步定位</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支持肺裂与肺叶相互切换显示</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支气管标注及肺段量化分析</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支持自动识别、分割支气管树</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支持支气管树的三维可视化</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支持三维支气管与</w:t>
                  </w:r>
                  <w:r>
                    <w:rPr>
                      <w:rFonts w:ascii="仿宋_GB2312" w:hAnsi="仿宋_GB2312" w:cs="仿宋_GB2312" w:eastAsia="仿宋_GB2312"/>
                      <w:sz w:val="18"/>
                      <w:color w:val="000000"/>
                    </w:rPr>
                    <w:t>MPR 平面图的同步定位</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支持标注支气管树，并分割肺段</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支持肺段的三维可视化</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支持肺段各种量化指标，包括容积、血管体积、肺组织体积、空气体积、</w:t>
                  </w:r>
                  <w:r>
                    <w:rPr>
                      <w:rFonts w:ascii="仿宋_GB2312" w:hAnsi="仿宋_GB2312" w:cs="仿宋_GB2312" w:eastAsia="仿宋_GB2312"/>
                      <w:sz w:val="18"/>
                      <w:color w:val="000000"/>
                    </w:rPr>
                    <w:t>LAA950、平均密度、密度标准差等</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支持标注支气管树，并分割肺亚段</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支持肺亚段的三维可视化</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支持肺亚段各种量化指标，包括容积、血管体积、肺组织体积、空气体积、</w:t>
                  </w:r>
                  <w:r>
                    <w:rPr>
                      <w:rFonts w:ascii="仿宋_GB2312" w:hAnsi="仿宋_GB2312" w:cs="仿宋_GB2312" w:eastAsia="仿宋_GB2312"/>
                      <w:sz w:val="18"/>
                      <w:color w:val="000000"/>
                    </w:rPr>
                    <w:t>LAA950、平均密度、密度标准差等</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小气道量化分析</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自动配准对比呼气相和吸气相两个序列的数据，自动识别小气道病变</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量化小气道病变参数，包括：容积、百分比、平均密度、小气道体积、小气道百分比、呼气吸气百分比等</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肺炎量化分析</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支持新冠肺炎</w:t>
                  </w:r>
                  <w:r>
                    <w:rPr>
                      <w:rFonts w:ascii="仿宋_GB2312" w:hAnsi="仿宋_GB2312" w:cs="仿宋_GB2312" w:eastAsia="仿宋_GB2312"/>
                      <w:sz w:val="18"/>
                      <w:color w:val="000000"/>
                    </w:rPr>
                    <w:t>CT 病变自动检出，包括磨玻璃阴影、结节、实变、纤维化的索条影</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支持病变分布自动检测：左肺（上叶、下叶），右肺（上叶、中叶、下叶）、双肺</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支持多平面联动定位病变</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支持自动量化分析病变数量、大小（体积、直径）、体积占比、密度、形态、边缘（清晰、模糊），病变区域及严重程度</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对可疑肺炎影像学特性（如磨玻璃样阴影、双侧斑片状阴影等）预警提示</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对早期、进展期、重症期、治疗转归期新冠肺炎</w:t>
                  </w:r>
                  <w:r>
                    <w:rPr>
                      <w:rFonts w:ascii="仿宋_GB2312" w:hAnsi="仿宋_GB2312" w:cs="仿宋_GB2312" w:eastAsia="仿宋_GB2312"/>
                      <w:sz w:val="18"/>
                      <w:color w:val="000000"/>
                    </w:rPr>
                    <w:t>CT影像表现的检出及变化智能提示</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支持标准结构化报告的自动生成</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支持不同分期病变特征自动配准及对比</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支持病变动态变化自动跟踪随访功能，提供柱状图、密度直方图</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支持病变及其周边组织的三维可视化</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支持人机交互添加、删除、修正病变</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肺部组织可视化</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三维可视化如下肺部组织结构：肺叶、肺裂、支气管、肺结节、肺段、肺亚段</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量化分析如下肺部组织结构：肺叶、肺裂、支气管、肺结节、肺段、肺亚段</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对自动分割部分的手动删除及修正</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硬件及服务</w:t>
                  </w: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工作站</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CPU ：Intel Core i7 及以上系列</w:t>
                  </w:r>
                </w:p>
              </w:tc>
              <w:tc>
                <w:tcPr>
                  <w:tcW w:type="dxa" w:w="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内存：</w:t>
                  </w:r>
                  <w:r>
                    <w:rPr>
                      <w:rFonts w:ascii="仿宋_GB2312" w:hAnsi="仿宋_GB2312" w:cs="仿宋_GB2312" w:eastAsia="仿宋_GB2312"/>
                      <w:sz w:val="18"/>
                      <w:color w:val="000000"/>
                    </w:rPr>
                    <w:t>16G 及以上</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磁盘：</w:t>
                  </w:r>
                  <w:r>
                    <w:rPr>
                      <w:rFonts w:ascii="仿宋_GB2312" w:hAnsi="仿宋_GB2312" w:cs="仿宋_GB2312" w:eastAsia="仿宋_GB2312"/>
                      <w:sz w:val="18"/>
                      <w:color w:val="000000"/>
                    </w:rPr>
                    <w:t>512GSSD+2T 及以上</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操作系统：</w:t>
                  </w:r>
                  <w:r>
                    <w:rPr>
                      <w:rFonts w:ascii="仿宋_GB2312" w:hAnsi="仿宋_GB2312" w:cs="仿宋_GB2312" w:eastAsia="仿宋_GB2312"/>
                      <w:sz w:val="18"/>
                      <w:color w:val="000000"/>
                    </w:rPr>
                    <w:t>Win 10 及以上 （64 位系统）</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显卡：（</w:t>
                  </w:r>
                  <w:r>
                    <w:rPr>
                      <w:rFonts w:ascii="仿宋_GB2312" w:hAnsi="仿宋_GB2312" w:cs="仿宋_GB2312" w:eastAsia="仿宋_GB2312"/>
                      <w:sz w:val="18"/>
                      <w:color w:val="000000"/>
                    </w:rPr>
                    <w:t>N 卡） RTX 系列显存 6g 及以上</w:t>
                  </w:r>
                </w:p>
              </w:tc>
              <w:tc>
                <w:tcPr>
                  <w:tcW w:type="dxa" w:w="168"/>
                  <w:vMerge/>
                  <w:tcBorders>
                    <w:top w:val="none" w:color="000000" w:sz="4"/>
                    <w:left w:val="singl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接口对接</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与</w:t>
                  </w:r>
                  <w:r>
                    <w:rPr>
                      <w:rFonts w:ascii="仿宋_GB2312" w:hAnsi="仿宋_GB2312" w:cs="仿宋_GB2312" w:eastAsia="仿宋_GB2312"/>
                      <w:sz w:val="18"/>
                      <w:color w:val="000000"/>
                    </w:rPr>
                    <w:t>his、pacs、集成平台等相关系统对接；满足医院电子病历六级、互联互通五级乙等、智慧服务三级的相关内容升级改造服务。</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r>
            <w:tr>
              <w:tc>
                <w:tcPr>
                  <w:tcW w:type="dxa" w:w="282"/>
                  <w:vMerge/>
                  <w:tcBorders>
                    <w:top w:val="none" w:color="000000" w:sz="4"/>
                    <w:left w:val="single" w:color="000000" w:sz="4"/>
                    <w:bottom w:val="single" w:color="000000" w:sz="4"/>
                    <w:right w:val="single" w:color="000000" w:sz="4"/>
                  </w:tcBorders>
                </w:tcPr>
                <w:p/>
              </w:tc>
              <w:tc>
                <w:tcPr>
                  <w:tcW w:type="dxa" w:w="345"/>
                  <w:vMerge/>
                  <w:tcBorders>
                    <w:top w:val="none" w:color="000000" w:sz="4"/>
                    <w:left w:val="none" w:color="000000" w:sz="4"/>
                    <w:bottom w:val="single" w:color="000000" w:sz="4"/>
                    <w:right w:val="single" w:color="000000" w:sz="4"/>
                  </w:tcBorders>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服务</w:t>
                  </w:r>
                </w:p>
              </w:tc>
              <w:tc>
                <w:tcPr>
                  <w:tcW w:type="dxa" w:w="11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系统部署及数据存储</w:t>
                  </w:r>
                </w:p>
              </w:tc>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bl>
          <w:p>
            <w:pPr>
              <w:pStyle w:val="null3"/>
            </w:pPr>
            <w:r>
              <w:rPr>
                <w:rFonts w:ascii="仿宋_GB2312" w:hAnsi="仿宋_GB2312" w:cs="仿宋_GB2312" w:eastAsia="仿宋_GB2312"/>
                <w:sz w:val="28"/>
                <w:b/>
              </w:rPr>
              <w:t>1.4 COPD呼吸专病管理平台</w:t>
            </w:r>
          </w:p>
          <w:tbl>
            <w:tblPr>
              <w:tblInd w:type="dxa" w:w="90"/>
              <w:tblBorders>
                <w:top w:val="none" w:color="000000" w:sz="4"/>
                <w:left w:val="none" w:color="000000" w:sz="4"/>
                <w:bottom w:val="none" w:color="000000" w:sz="4"/>
                <w:right w:val="none" w:color="000000" w:sz="4"/>
                <w:insideH w:val="none"/>
                <w:insideV w:val="none"/>
              </w:tblBorders>
            </w:tblPr>
            <w:tblGrid>
              <w:gridCol w:w="282"/>
              <w:gridCol w:w="286"/>
              <w:gridCol w:w="337"/>
              <w:gridCol w:w="1474"/>
              <w:gridCol w:w="168"/>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一级模块</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二级模块</w:t>
                  </w:r>
                </w:p>
              </w:tc>
              <w:tc>
                <w:tcPr>
                  <w:tcW w:type="dxa" w:w="1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功能模块</w:t>
                  </w:r>
                </w:p>
              </w:tc>
              <w:tc>
                <w:tcPr>
                  <w:tcW w:type="dxa" w:w="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数量</w:t>
                  </w:r>
                </w:p>
              </w:tc>
            </w:tr>
            <w:tr>
              <w:tc>
                <w:tcPr>
                  <w:tcW w:type="dxa" w:w="2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COPD呼吸专病管理平台</w:t>
                  </w: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COPD</w:t>
                  </w:r>
                  <w:r>
                    <w:rPr>
                      <w:rFonts w:ascii="仿宋_GB2312" w:hAnsi="仿宋_GB2312" w:cs="仿宋_GB2312" w:eastAsia="仿宋_GB2312"/>
                      <w:sz w:val="18"/>
                      <w:b/>
                      <w:color w:val="000000"/>
                    </w:rPr>
                    <w:t>筛查平台</w:t>
                  </w: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实时监测大屏</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1.1支持实时查看慢阻肺疾病筛查目标及完成情况、管理目标及完成情况；</w:t>
                  </w:r>
                </w:p>
              </w:tc>
              <w:tc>
                <w:tcPr>
                  <w:tcW w:type="dxa" w:w="1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1.2支持实时查看肺功能检查轻重度数量占比及分布图；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1.3支持实时查看确诊与评估性别数量及分布图、确诊与评估年龄数量及分布图、确诊与评估分组数量及分布图；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1.4支持实时查看筛查问卷得分分布数量及占比图；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 支持实时查看筛查和管理的总量趋势；</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项目进度概览</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2.1支持按年度设置查看项目进度概览；</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2.2支持查看年度筛查情况，包含：目标筛查，完成筛查，筛查进度，40岁以上人群，40岁以上人群占比；</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2.3支持查看年度管理统计，包含：目标管理，开始管理，开始管理进度，完成管理，完成管理进度；</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2.4支持查看各年度中心进度排名；</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2.5支持查看各中心年度数据概览，包含：目标筛查人数，完成筛查人数，筛查进度，40岁以上人数，40岁以上人数占比，高危人数，高危占比，目标管理人数，开始管理人数，开始管理进度，完成管理人数，完成管理进度；</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2.6支持查看总量趋势；</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color w:val="000000"/>
                    </w:rPr>
                    <w:t>*</w:t>
                  </w:r>
                  <w:r>
                    <w:rPr>
                      <w:rFonts w:ascii="仿宋_GB2312" w:hAnsi="仿宋_GB2312" w:cs="仿宋_GB2312" w:eastAsia="仿宋_GB2312"/>
                      <w:sz w:val="18"/>
                      <w:b/>
                      <w:color w:val="000000"/>
                    </w:rPr>
                    <w:t>患者管理概况</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3.1支持问卷筛查情况查看，包括各评分段数量，占比分布图；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3.2支持按性别查看数量及占比图；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3.3支持按吸烟指数（包年）查看数量及占比图；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3.4支持按体重指数BMI查看数量及占比图；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3.5支持按咳嗽情况查看数量级占比图；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3.6支持按气促情况查看数量及占比图；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3.7支持按生物燃料暴露情况查看数量及占比图；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3.8支持按家族病史情况查看数量及占比图；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3.9支持查看不同年龄区间筛查人数，高危人数，及检出率。并以直方图显示；</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3.10支持查看不同年龄区间慢阻肺高危人群的性别构成查看；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3.11支持查看肺功能检查情况，包括肺功能通气障碍分级图，按轻度，中度，中重度，重度，极重度显示数量及直方图；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3.12支持查看肺功能质控分析，显示肺功能报告FEV1和FVC的质控等级分布图；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3.13支持查看确诊与评估的性别分布图，年龄分布图，以及确诊慢阻肺等级分布图；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3.14支持查看治疗与用药查看，包括治疗方式（吸入型，非吸入型，非药物治疗），用药情况查看（各类药品的使用情况及占比）；</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3.15支持随访情况查看，包括CAT评估按分值分布情况，mMRC评估按分值分布情况，单人随访次数情况；</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医生管理概况</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4.1支持查看医生筛查管理进度排名及直方图；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4.2支持查看医生数据概览，包括医生姓名，筛查人数，管理人数，高危人数；</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高级检索</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5.1支持按预设好的字段（比如性别、年龄、吸烟指数等）设置高级检索条件；</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5.2支持导出检索条件；</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5.3支持按设值好的条件进行检索；</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5.4支持检索出的数据以列表形式显示；</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5.5支持检索出的数据按患者管理中的分类图表显示；</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color w:val="000000"/>
                    </w:rPr>
                    <w:t>*</w:t>
                  </w:r>
                  <w:r>
                    <w:rPr>
                      <w:rFonts w:ascii="仿宋_GB2312" w:hAnsi="仿宋_GB2312" w:cs="仿宋_GB2312" w:eastAsia="仿宋_GB2312"/>
                      <w:sz w:val="18"/>
                      <w:b/>
                      <w:color w:val="000000"/>
                    </w:rPr>
                    <w:t>数据细则管理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6.1支持查看居民建档列表以及按条件检索，条件包括：姓名、性别、年龄；详情支持查看患者建档具体内容；</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6.2支持查看问卷筛查列表以及按条件检索，列表展示内容包括患者基本信息，问卷主要内容；检索条件包括（姓名、性别、年龄、是否高危、以及来源筛查终端设备是还是一体机；详情支持查看患者问卷筛查具体内容；</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6.3支持查看肺功能检查情况列表以及按条件检索，列表展示内容有患者基本信息和肺功能检查主要内容；检索条件主要有：姓名、性别、年龄、设备来源、FEV1/FVC、FEV1占预计值、预警状态等；</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6.4支持查看患者肺功能主要参数：FVC、FEV1、FEV1/FVC、PEF、MEF75、MEF50、MEF25、MMEF；支持容积图和流速容积图展示；支持设备来源显示；支持多次肺功能检查结果展示；支持肺功能报告质控等级查看；支持肺功能检查结论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6.5支持查看支气管舒张试验检查情况列表以及按条件检索，列表展示内容有患者基本信息和支气管舒张试验检查主要内容；检索条件主要有：姓名、性别、年龄、设备来源、用药后FEV1/FVC、用药后FEV1占预计值、预警状态；</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6.6支持查看支气管舒张试验用药前后主要参数：FVC、FEV1、FEV1/FVC、PEF、MEF75、MEF50、MEF25、MMEF；支持用药前后流速容积图查看；支持多次结果展示；支持肺功能报告质控等级查看；支持支气管舒张试验检查结论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6.7 支持查看患者确诊与评估列表，列表内容包括患者基本信息和确诊与评估基本信息；支持按条件列表检索，检索条件包括：姓名、性别、年龄、防治中心、是否确诊、mMRC等级、CAT评估等级、慢阻肺等级;</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6.8支持查看确诊与评估详情，包括肺功能报告/弥散功能报告，主要数据参数详情、是否确诊、咳痰情况，体征情况，mMRC评估、CAT评估、慢阻肺分组、合并症评估；</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6.9 支持查看治疗与用药数据，包括患者基本信息和用药基本信息；支持按条件检索，检索条件包括：姓名、性别、年龄、防治中心、治疗方式、药物类别、非药物治疗方式；</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6.10 支持查看治疗与用药详情查看，包括用药清单和非药物治疗方式；</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6.11支持查看随访与评估问卷列表，包括患者基本信息和随访基本信息；支持按条件检索，检索条件包括：姓名、性别、年龄、mMRC评估、CAT评估、设备来源；</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6.12支持查看随访与评估问卷详情；</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6.13支持查看随访与用药情况列表，包括患者基本信息和用药基本信息；支持按条件检索，检索条件包括：姓名、性别、年龄、治疗方式、药物类型、非药物治疗方式、来源；支持查看随访与用药情况详情，支持多结果显示；</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系统管理服务</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7.1提供系统管理服务</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7.2支持创建、删除、修改用户信息</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7.3支持角色管理，赋予不同角色不同权限</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7.4支持医院管理，支持分级创建医院</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7.5字典管理，支持提供系统参数配置</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7.6支持药品管理，添加删除患者常用药品名称</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终端筛查平板端</w:t>
                  </w: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居民建档</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1.1 支持患者基本信息录入（出生日期，民族，居住地，户口类型，职业，婚姻状况，文化程度，医疗保险，是否接受过copd疾病健康教育，联系电话等）。</w:t>
                  </w:r>
                </w:p>
              </w:tc>
              <w:tc>
                <w:tcPr>
                  <w:tcW w:type="dxa" w:w="1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1.2 支持身份证OCR识别自动录入患者信息。</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1.3 支持录入患者是否有特殊物质接触史情况,包括吸烟史，油烟接触史，粉尘接触史，饮酒史等。</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1.4 支持录入有无既往病史情况，包括病史诊断时间，治愈时间。</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 支持录入个人家族史，遗传病史情况。</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1.6支持录入症状问卷评估，COPD评估测试呼吸问卷(CAT)，改良呼吸困难指数（mMRC）问卷等。</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1.8 支持患者信息快速查找，信息修改，各功能模块数据查看。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1.9 支持参加筛查患者[COPD研究数据采集知情同意书]拍照上传存档。</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问卷筛查</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支持按《慢性阻塞性肺疾病筛查问卷</w:t>
                  </w:r>
                  <w:r>
                    <w:rPr>
                      <w:rFonts w:ascii="仿宋_GB2312" w:hAnsi="仿宋_GB2312" w:cs="仿宋_GB2312" w:eastAsia="仿宋_GB2312"/>
                      <w:sz w:val="18"/>
                      <w:color w:val="000000"/>
                    </w:rPr>
                    <w:t>COPD-SQ问卷》进行问卷筛查。得分在总分≥16分的人群，自动提示慢阻肺高危人群，提示进一步检查，使用肺功能检测仪进行快速肺功能检测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color w:val="000000"/>
                    </w:rPr>
                    <w:t>*</w:t>
                  </w:r>
                  <w:r>
                    <w:rPr>
                      <w:rFonts w:ascii="仿宋_GB2312" w:hAnsi="仿宋_GB2312" w:cs="仿宋_GB2312" w:eastAsia="仿宋_GB2312"/>
                      <w:sz w:val="18"/>
                      <w:b/>
                      <w:color w:val="000000"/>
                    </w:rPr>
                    <w:t>肺功能检查</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3.1支持具有物联网肺功能设备：肺功能报告自动上传至管理后台；</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3.2支持检测患者肺功能（FVC（用力肺活量）），主要参数包括：FVC、FEV1、FEV1/FVC、PEF、MEF75、MEF50、MEF25、MMEF；支持容积图和流速容积图展示；支持设备来源显示；支持多次肺功能检查结果展示；支持肺功能报告质控等级查看；支持肺功能检查结论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3.3 支持检测患者药前药后支气管舒张试验，主要参数包括：FVC、FEV1、FEV1/FVC、PEF、MEF75、MEF50、MEF25、MMEF；支持用药前后流速容积图查看；支持多次结果展示；支持肺功能报告质控等级查看；支持支气管舒张试验检查结论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3.4 支持检测患者MVV（最大自主通气量），主要参数包括：MVV；支持容积图展示；支持多次结果展示；支持肺功能报告质控等级查看；支持检查结论查看；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3.5支持检测VC（肺活量），主要参数包括：VC Max、VT、IRV、ERV、IC等；支持容积图展示；支持多次结果展示；支持检查结论查看；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3.6 支持检测CPEF（咳嗽峰流速），便于预测是否可以脱机拔管。支持多次结果展示；支持检查结论查看；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3.7支持肺功能通气功能AI判读，可结合肺功能报告实现慢性呼吸道疾病的辅助诊断；结论包括肺通气功能正常，阻塞性通气功能障碍，限制性通气功能障碍，混合性通气功能障碍，小气道功能障碍及障碍严重程度分级情况，帮助医生做出相应的医疗决策。</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确诊与评估</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4.1支持慢阻肺检查报告图片上传，支持肺功能，弥散功能关键参数输入；</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4.2支持是否确诊结果，咳痰情况，体征情况输入；</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4.3对于确诊患者支持mMRC问卷评估、CAT问卷评估和急性加重信息输入，支持自动输出慢阻肺等级结果，支持合并症评估；</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治疗用药</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5.1支持提供国家基本药品目录中的药品名单，医生可以选择治疗药品；</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5.2支持按吸入型和口服型分类选取药物、支持手动输入非清单内药品名称、支持非药物治疗信息选择清单；</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随访问卷</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支持随访问卷，</w:t>
                  </w:r>
                  <w:r>
                    <w:rPr>
                      <w:rFonts w:ascii="仿宋_GB2312" w:hAnsi="仿宋_GB2312" w:cs="仿宋_GB2312" w:eastAsia="仿宋_GB2312"/>
                      <w:sz w:val="18"/>
                      <w:color w:val="000000"/>
                    </w:rPr>
                    <w:t>CAT问卷、mMRC问卷，结合AI算法输出问卷结果</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用药调整</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支持根据随访问卷结果研判病情，得出用药调整建议，医生可根据实际情况校正用药并如期自动记录</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仪器检测</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具备自动测量环境参数（温度、湿度、大气压）并进行</w:t>
                  </w:r>
                  <w:r>
                    <w:rPr>
                      <w:rFonts w:ascii="仿宋_GB2312" w:hAnsi="仿宋_GB2312" w:cs="仿宋_GB2312" w:eastAsia="仿宋_GB2312"/>
                      <w:sz w:val="18"/>
                      <w:color w:val="000000"/>
                    </w:rPr>
                    <w:t>BTPS</w:t>
                  </w:r>
                  <w:r>
                    <w:rPr>
                      <w:rFonts w:ascii="仿宋_GB2312" w:hAnsi="仿宋_GB2312" w:cs="仿宋_GB2312" w:eastAsia="仿宋_GB2312"/>
                      <w:sz w:val="18"/>
                      <w:color w:val="000000"/>
                    </w:rPr>
                    <w:t>自动校正功能；在移动使用或不同地点间转移设备后，医护人员可以直接在现场完成校准，生成定标记录报告。</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系统设置</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数据上传接口设置，医院，医生信息等相关信息设置。</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COPD专病平台</w:t>
                  </w: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首页</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1.1 支持新到，管理，结束管理，手机端绑定总人数查看。</w:t>
                  </w:r>
                </w:p>
              </w:tc>
              <w:tc>
                <w:tcPr>
                  <w:tcW w:type="dxa" w:w="1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1.2 支持患者就诊总量趋势变化图。</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1.3 支持患者治疗，确诊疾病占比等。</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1.4 支持提供多维度数据统计和分析功能。</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7"/>
                      <w:b/>
                      <w:color w:val="000000"/>
                    </w:rPr>
                    <w:t>*</w:t>
                  </w:r>
                  <w:r>
                    <w:rPr>
                      <w:rFonts w:ascii="仿宋_GB2312" w:hAnsi="仿宋_GB2312" w:cs="仿宋_GB2312" w:eastAsia="仿宋_GB2312"/>
                      <w:sz w:val="18"/>
                      <w:b/>
                      <w:color w:val="000000"/>
                    </w:rPr>
                    <w:t>患者管理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 支持新到，管理，结束管理列表患者检索，多维度查询。</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2.2 支持查看患者详情（基本信息，既往病史，肿瘤病史，就诊记录等）</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2.3 支持患者个人全息视图查看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2.4支持患者各种问卷录入，（SQ问卷，CAT问卷，mMRC问卷，COPD稳定观察期随诊问卷，COPD急性加重期随诊问卷，COPD症候积分表）。</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2.5支持患者各项检查报告录入，图片上传（体征测量，胸部CT，支气管镜，肺功能检测，血气分析，FeNO检测）。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2.6 支持患者各项检验数据录入，图片上传（血常规，尿常规，细菌培养，炎症指标等）</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2.7支持患者治疗方式详情记录（药物治疗，非药物治疗等）。</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2.8 支持DICOM标准，可接入医院PACS系统，自动获取影像数据</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2.9 支持DICOM影像数据的上传，存储以及阅览。</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2.10支持宣教、问卷、短信、电话、复诊等多元化随访方式，极大提升了随访的灵活性和效率，确保了信息交流的及时性和准确性。</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2.11支持设置个性化随访计划，自动提醒患者复查。</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2.12 支持COPD诊疗过程信息录入，包括确诊与评估，用药治疗，随访评估问卷。</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2.13 支持院内肺功能，血气分析设备等数据报告上传，数据电子化管理。</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2.14 支持终端数据上传专病平台。</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随访管理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3.1 支持患教文章发布。</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3.2支持自定义问卷内容，满足不同患者评估需求。</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3.4 支持医生随访日志结构化浏览,整合多渠道随访记录。</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3.5支持多维度随访效能分析，查看患者配合度，进一步调整随访方式。</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3.6支持多种随访方式设置，包括电话，短信，来院通知，问卷评估，患教文章，满足院内院外随访需求。</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系统管理</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4.1 系统角色分配，支持根据不同角色设置不同的操作权限，确保数据安全。</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4.2 多机构管理中心设置</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4.3 医生账户因信息维护</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4.4 字典管理，支持提供系统参数配置</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4.5日志管理，支持数据备份等功能。</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移动端（医生）</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5.1文章宣教</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5.2报告上传消息通知/系统消息通知</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5.3医患线上沟通</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5.4患者列表检索，详情查看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5.5患者检查报告查看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移动端（患者）</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6.1文章宣教查看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6.2报告上传消息通知/系统消息通知</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6.3医患线上沟通</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6.4患者个人详情查看，各类检查报告查看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6.5随访消息通知</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6.6随访问卷评估调研</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vMerge/>
                  <w:tcBorders>
                    <w:top w:val="none" w:color="000000" w:sz="4"/>
                    <w:left w:val="none" w:color="000000" w:sz="4"/>
                    <w:bottom w:val="single" w:color="000000" w:sz="4"/>
                    <w:right w:val="single" w:color="000000" w:sz="4"/>
                  </w:tcBorders>
                </w:tcPr>
                <w:p/>
              </w:tc>
              <w:tc>
                <w:tcPr>
                  <w:tcW w:type="dxa" w:w="337"/>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6.7随访文章查看</w:t>
                  </w:r>
                </w:p>
              </w:tc>
              <w:tc>
                <w:tcPr>
                  <w:tcW w:type="dxa" w:w="168"/>
                  <w:vMerge/>
                  <w:tcBorders>
                    <w:top w:val="none" w:color="000000" w:sz="4"/>
                    <w:left w:val="none" w:color="000000" w:sz="4"/>
                    <w:bottom w:val="single" w:color="000000" w:sz="4"/>
                    <w:right w:val="single" w:color="000000" w:sz="4"/>
                  </w:tcBorders>
                </w:tcPr>
                <w:p/>
              </w:tc>
            </w:tr>
            <w:tr>
              <w:tc>
                <w:tcPr>
                  <w:tcW w:type="dxa" w:w="282"/>
                  <w:vMerge/>
                  <w:tcBorders>
                    <w:top w:val="none" w:color="000000" w:sz="4"/>
                    <w:left w:val="singl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接口对接</w:t>
                  </w:r>
                </w:p>
              </w:tc>
              <w:tc>
                <w:tcPr>
                  <w:tcW w:type="dxa" w:w="18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与</w:t>
                  </w:r>
                  <w:r>
                    <w:rPr>
                      <w:rFonts w:ascii="仿宋_GB2312" w:hAnsi="仿宋_GB2312" w:cs="仿宋_GB2312" w:eastAsia="仿宋_GB2312"/>
                      <w:sz w:val="18"/>
                      <w:b/>
                      <w:color w:val="000000"/>
                    </w:rPr>
                    <w:t>his、pacs、集成平台、电子病历等相关系统对接；满足医院电子病历六级、互联互通五级乙等、智慧服务三级的相关内容升级改造服务。</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r>
            <w:tr>
              <w:tc>
                <w:tcPr>
                  <w:tcW w:type="dxa" w:w="282"/>
                  <w:vMerge/>
                  <w:tcBorders>
                    <w:top w:val="none" w:color="000000" w:sz="4"/>
                    <w:left w:val="single" w:color="000000" w:sz="4"/>
                    <w:bottom w:val="single" w:color="000000" w:sz="4"/>
                    <w:right w:val="single" w:color="000000" w:sz="4"/>
                  </w:tcBorders>
                </w:tcPr>
                <w:p/>
              </w:tc>
              <w:tc>
                <w:tcPr>
                  <w:tcW w:type="dxa" w:w="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硬件服务器</w:t>
                  </w:r>
                </w:p>
              </w:tc>
              <w:tc>
                <w:tcPr>
                  <w:tcW w:type="dxa" w:w="181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系统部署及数据存储</w:t>
                  </w:r>
                </w:p>
              </w:tc>
              <w:tc>
                <w:tcPr>
                  <w:tcW w:type="dxa" w:w="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r>
          </w:tbl>
          <w:p>
            <w:pPr>
              <w:pStyle w:val="null3"/>
            </w:pPr>
            <w:r>
              <w:rPr>
                <w:rFonts w:ascii="仿宋_GB2312" w:hAnsi="仿宋_GB2312" w:cs="仿宋_GB2312" w:eastAsia="仿宋_GB2312"/>
                <w:sz w:val="28"/>
                <w:b/>
              </w:rPr>
              <w:t>1.5 定量 CT（QCT）骨密度分析系统</w:t>
            </w:r>
          </w:p>
          <w:tbl>
            <w:tblPr>
              <w:tblInd w:type="dxa" w:w="90"/>
              <w:tblBorders>
                <w:top w:val="none" w:color="000000" w:sz="4"/>
                <w:left w:val="none" w:color="000000" w:sz="4"/>
                <w:bottom w:val="none" w:color="000000" w:sz="4"/>
                <w:right w:val="none" w:color="000000" w:sz="4"/>
                <w:insideH w:val="none"/>
                <w:insideV w:val="none"/>
              </w:tblBorders>
            </w:tblPr>
            <w:tblGrid>
              <w:gridCol w:w="285"/>
              <w:gridCol w:w="348"/>
              <w:gridCol w:w="463"/>
              <w:gridCol w:w="1256"/>
              <w:gridCol w:w="190"/>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一级模块</w:t>
                  </w:r>
                </w:p>
              </w:tc>
              <w:tc>
                <w:tcPr>
                  <w:tcW w:type="dxa" w:w="125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功能描述</w:t>
                  </w:r>
                </w:p>
              </w:tc>
              <w:tc>
                <w:tcPr>
                  <w:tcW w:type="dxa" w:w="190"/>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r>
            <w:tr>
              <w:tc>
                <w:tcPr>
                  <w:tcW w:type="dxa" w:w="28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34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4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系统</w:t>
                  </w:r>
                </w:p>
              </w:tc>
              <w:tc>
                <w:tcPr>
                  <w:tcW w:type="dxa" w:w="1256"/>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000000"/>
                    </w:rPr>
                    <w:t>*</w:t>
                  </w:r>
                  <w:r>
                    <w:rPr>
                      <w:rFonts w:ascii="仿宋_GB2312" w:hAnsi="仿宋_GB2312" w:cs="仿宋_GB2312" w:eastAsia="仿宋_GB2312"/>
                      <w:sz w:val="18"/>
                      <w:color w:val="000000"/>
                    </w:rPr>
                    <w:t>1.1适用范围：用于评估脊柱和髋部的骨密度和骨矿物质含量。（提供二类注册证）</w:t>
                  </w:r>
                </w:p>
              </w:tc>
              <w:tc>
                <w:tcPr>
                  <w:tcW w:type="dxa" w:w="190"/>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singl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000000"/>
                    </w:rPr>
                    <w:t>*</w:t>
                  </w:r>
                  <w:r>
                    <w:rPr>
                      <w:rFonts w:ascii="仿宋_GB2312" w:hAnsi="仿宋_GB2312" w:cs="仿宋_GB2312" w:eastAsia="仿宋_GB2312"/>
                      <w:sz w:val="18"/>
                      <w:color w:val="000000"/>
                    </w:rPr>
                    <w:t>1.2具备非同步校准体模。</w:t>
                  </w:r>
                </w:p>
              </w:tc>
              <w:tc>
                <w:tcPr>
                  <w:tcW w:type="dxa" w:w="190"/>
                  <w:vMerge/>
                  <w:tcBorders>
                    <w:top w:val="single" w:color="000000" w:sz="4"/>
                    <w:left w:val="single" w:color="000000" w:sz="4"/>
                    <w:bottom w:val="non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singl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1.3 非同步骨密度分析软件壹套</w:t>
                  </w:r>
                </w:p>
              </w:tc>
              <w:tc>
                <w:tcPr>
                  <w:tcW w:type="dxa" w:w="190"/>
                  <w:vMerge/>
                  <w:tcBorders>
                    <w:top w:val="single" w:color="000000" w:sz="4"/>
                    <w:left w:val="single" w:color="000000" w:sz="4"/>
                    <w:bottom w:val="non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singl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1.4 兼容国内外任何品牌 CT 机(≥16 排）和 PET-CT</w:t>
                  </w:r>
                </w:p>
              </w:tc>
              <w:tc>
                <w:tcPr>
                  <w:tcW w:type="dxa" w:w="190"/>
                  <w:vMerge/>
                  <w:tcBorders>
                    <w:top w:val="single" w:color="000000" w:sz="4"/>
                    <w:left w:val="single" w:color="000000" w:sz="4"/>
                    <w:bottom w:val="non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singl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1.5 病人QCT扫描时无需体模</w:t>
                  </w:r>
                </w:p>
              </w:tc>
              <w:tc>
                <w:tcPr>
                  <w:tcW w:type="dxa" w:w="190"/>
                  <w:vMerge/>
                  <w:tcBorders>
                    <w:top w:val="single" w:color="000000" w:sz="4"/>
                    <w:left w:val="single" w:color="000000" w:sz="4"/>
                    <w:bottom w:val="non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singl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1.6 扫描时不用固定床高 不受长度限制</w:t>
                  </w:r>
                </w:p>
              </w:tc>
              <w:tc>
                <w:tcPr>
                  <w:tcW w:type="dxa" w:w="190"/>
                  <w:vMerge/>
                  <w:tcBorders>
                    <w:top w:val="single" w:color="000000" w:sz="4"/>
                    <w:left w:val="single" w:color="000000" w:sz="4"/>
                    <w:bottom w:val="non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测量功能模块</w:t>
                  </w: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2.1 测量范围：脊柱（胸11-腰4）、髋部（全髋、股骨颈）</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2.2 可测定骨骼部位的松质骨和皮质骨</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2.3 可进行骨的显微结构观察，即骨小梁的变化一骨小梁是否变细、骨小梁数量是否减少、骨小梁之间是否有断裂的痕迹。</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2.4 采用CT体积数据进行三维骨密度测量。</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2.5 具有3D全脊柱骨密度分析功能。</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2.6具有髋部体积骨密度测定功能。</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2.7具有髋部骨密度分析功能。</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2.8具有腹部脂肪面积测量功能</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000000"/>
                    </w:rPr>
                    <w:t>*</w:t>
                  </w:r>
                  <w:r>
                    <w:rPr>
                      <w:rFonts w:ascii="仿宋_GB2312" w:hAnsi="仿宋_GB2312" w:cs="仿宋_GB2312" w:eastAsia="仿宋_GB2312"/>
                      <w:sz w:val="18"/>
                      <w:color w:val="000000"/>
                    </w:rPr>
                    <w:t>2.9具有肝脏脂肪含量测量功能。</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2.10具有肌肉测量功能，可以对患者做身体脂肪含量及身体肌肉含量的体质测量分析。</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软件分析功能</w:t>
                  </w: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3.1 质控软件模块</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000000"/>
                    </w:rPr>
                    <w:t>*</w:t>
                  </w:r>
                  <w:r>
                    <w:rPr>
                      <w:rFonts w:ascii="仿宋_GB2312" w:hAnsi="仿宋_GB2312" w:cs="仿宋_GB2312" w:eastAsia="仿宋_GB2312"/>
                      <w:sz w:val="18"/>
                      <w:color w:val="000000"/>
                    </w:rPr>
                    <w:t>3.2 使用欧洲体模(ESP-145)进行准确性及重复性校准</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3.3数据存储，数据库导入导出功能</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3.4 符合 DICOM 协议 、存储、打印</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3.5 QCT 分析结果以DICOM 图像格式上传至 PACS</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non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3.6 根据测量结果自动出结果报告，医生也可以根据检测结果修改</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硬件及服务</w:t>
                  </w:r>
                </w:p>
              </w:tc>
              <w:tc>
                <w:tcPr>
                  <w:tcW w:type="dxa" w:w="46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工作站和打印机</w:t>
                  </w: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4.1 CPU ≥ 3 GHz</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63"/>
                  <w:vMerge/>
                  <w:tcBorders>
                    <w:top w:val="none" w:color="000000" w:sz="4"/>
                    <w:left w:val="none" w:color="000000" w:sz="4"/>
                    <w:bottom w:val="non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4.2 硬盘 ≥ 1T</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63"/>
                  <w:vMerge/>
                  <w:tcBorders>
                    <w:top w:val="none" w:color="000000" w:sz="4"/>
                    <w:left w:val="none" w:color="000000" w:sz="4"/>
                    <w:bottom w:val="non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4.3 内存 ≥8G</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63"/>
                  <w:vMerge/>
                  <w:tcBorders>
                    <w:top w:val="none" w:color="000000" w:sz="4"/>
                    <w:left w:val="none" w:color="000000" w:sz="4"/>
                    <w:bottom w:val="non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4.4 显示器 ≥19 英寸</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63"/>
                  <w:vMerge/>
                  <w:tcBorders>
                    <w:top w:val="none" w:color="000000" w:sz="4"/>
                    <w:left w:val="none" w:color="000000" w:sz="4"/>
                    <w:bottom w:val="non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4.5 显卡T400 4GB</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63"/>
                  <w:vMerge/>
                  <w:tcBorders>
                    <w:top w:val="none" w:color="000000" w:sz="4"/>
                    <w:left w:val="none" w:color="000000" w:sz="4"/>
                    <w:bottom w:val="non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4.6报告结果打印机壹台</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63"/>
                  <w:vMerge/>
                  <w:tcBorders>
                    <w:top w:val="none" w:color="000000" w:sz="4"/>
                    <w:left w:val="none" w:color="000000" w:sz="4"/>
                    <w:bottom w:val="non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7"/>
                      <w:b/>
                      <w:color w:val="000000"/>
                    </w:rPr>
                    <w:t>*</w:t>
                  </w:r>
                  <w:r>
                    <w:rPr>
                      <w:rFonts w:ascii="仿宋_GB2312" w:hAnsi="仿宋_GB2312" w:cs="仿宋_GB2312" w:eastAsia="仿宋_GB2312"/>
                      <w:sz w:val="18"/>
                      <w:color w:val="000000"/>
                    </w:rPr>
                    <w:t>4.7采用B/S架构</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其它服务</w:t>
                  </w: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2.5.1 提供</w:t>
                  </w:r>
                  <w:r>
                    <w:rPr>
                      <w:rFonts w:ascii="仿宋_GB2312" w:hAnsi="仿宋_GB2312" w:cs="仿宋_GB2312" w:eastAsia="仿宋_GB2312"/>
                      <w:sz w:val="18"/>
                      <w:color w:val="000000"/>
                    </w:rPr>
                    <w:t>3</w:t>
                  </w:r>
                  <w:r>
                    <w:rPr>
                      <w:rFonts w:ascii="仿宋_GB2312" w:hAnsi="仿宋_GB2312" w:cs="仿宋_GB2312" w:eastAsia="仿宋_GB2312"/>
                      <w:sz w:val="18"/>
                      <w:color w:val="000000"/>
                    </w:rPr>
                    <w:t>年整机免费保修</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2.5.2 维修响应时间（本地）≤24 小时，外地到场时间≤72 小时</w:t>
                  </w:r>
                </w:p>
              </w:tc>
              <w:tc>
                <w:tcPr>
                  <w:tcW w:type="dxa" w:w="190"/>
                  <w:vMerge/>
                  <w:tcBorders>
                    <w:top w:val="none" w:color="000000" w:sz="4"/>
                    <w:left w:val="single" w:color="000000" w:sz="4"/>
                    <w:bottom w:val="single" w:color="000000" w:sz="4"/>
                    <w:right w:val="single" w:color="000000" w:sz="4"/>
                  </w:tcBorders>
                </w:tcPr>
                <w:p/>
              </w:tc>
            </w:tr>
            <w:tr>
              <w:tc>
                <w:tcPr>
                  <w:tcW w:type="dxa" w:w="285"/>
                  <w:vMerge/>
                  <w:tcBorders>
                    <w:top w:val="none" w:color="000000" w:sz="4"/>
                    <w:left w:val="single" w:color="000000" w:sz="4"/>
                    <w:bottom w:val="none" w:color="000000" w:sz="4"/>
                    <w:right w:val="single" w:color="000000" w:sz="4"/>
                  </w:tcBorders>
                </w:tcPr>
                <w:p/>
              </w:tc>
              <w:tc>
                <w:tcPr>
                  <w:tcW w:type="dxa" w:w="348"/>
                  <w:vMerge/>
                  <w:tcBorders>
                    <w:top w:val="none" w:color="000000" w:sz="4"/>
                    <w:left w:val="none" w:color="000000" w:sz="4"/>
                    <w:bottom w:val="single" w:color="000000" w:sz="4"/>
                    <w:right w:val="single" w:color="000000" w:sz="4"/>
                  </w:tcBorders>
                </w:tcPr>
                <w:p/>
              </w:tc>
              <w:tc>
                <w:tcPr>
                  <w:tcW w:type="dxa" w:w="463"/>
                  <w:vMerge/>
                  <w:tcBorders>
                    <w:top w:val="none" w:color="000000" w:sz="4"/>
                    <w:left w:val="none" w:color="000000" w:sz="4"/>
                    <w:bottom w:val="single" w:color="000000" w:sz="4"/>
                    <w:right w:val="single" w:color="000000" w:sz="4"/>
                  </w:tcBorders>
                </w:tcPr>
                <w:p/>
              </w:tc>
              <w:tc>
                <w:tcPr>
                  <w:tcW w:type="dxa" w:w="125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2.5.3 设备安装期间产生的费用（如物流、人工费）由供方承担</w:t>
                  </w:r>
                </w:p>
              </w:tc>
              <w:tc>
                <w:tcPr>
                  <w:tcW w:type="dxa" w:w="190"/>
                  <w:vMerge/>
                  <w:tcBorders>
                    <w:top w:val="none" w:color="000000" w:sz="4"/>
                    <w:left w:val="single" w:color="000000" w:sz="4"/>
                    <w:bottom w:val="single" w:color="000000" w:sz="4"/>
                    <w:right w:val="single" w:color="000000" w:sz="4"/>
                  </w:tcBorders>
                </w:tcPr>
                <w:p/>
              </w:tc>
            </w:tr>
          </w:tbl>
          <w:p>
            <w:pPr>
              <w:pStyle w:val="null3"/>
            </w:pPr>
            <w:r>
              <w:rPr>
                <w:rFonts w:ascii="仿宋_GB2312" w:hAnsi="仿宋_GB2312" w:cs="仿宋_GB2312" w:eastAsia="仿宋_GB2312"/>
                <w:sz w:val="32"/>
                <w:b/>
              </w:rPr>
              <w:t>2、 项目实施、售后服务及商务要求</w:t>
            </w:r>
          </w:p>
          <w:p>
            <w:pPr>
              <w:pStyle w:val="null3"/>
            </w:pPr>
            <w:r>
              <w:rPr>
                <w:rFonts w:ascii="仿宋_GB2312" w:hAnsi="仿宋_GB2312" w:cs="仿宋_GB2312" w:eastAsia="仿宋_GB2312"/>
                <w:sz w:val="32"/>
                <w:b/>
              </w:rPr>
              <w:t xml:space="preserve">2.1 </w:t>
            </w:r>
            <w:r>
              <w:rPr>
                <w:rFonts w:ascii="仿宋_GB2312" w:hAnsi="仿宋_GB2312" w:cs="仿宋_GB2312" w:eastAsia="仿宋_GB2312"/>
                <w:sz w:val="28"/>
                <w:b/>
              </w:rPr>
              <w:t>整体要求</w:t>
            </w:r>
          </w:p>
          <w:p>
            <w:pPr>
              <w:pStyle w:val="null3"/>
              <w:spacing w:before="255" w:after="255"/>
              <w:ind w:left="570"/>
              <w:outlineLvl w:val="1"/>
            </w:pPr>
            <w:r>
              <w:rPr>
                <w:rFonts w:ascii="仿宋_GB2312" w:hAnsi="仿宋_GB2312" w:cs="仿宋_GB2312" w:eastAsia="仿宋_GB2312"/>
                <w:sz w:val="22"/>
                <w:b/>
              </w:rPr>
              <w:t xml:space="preserve">  本项目为交钥匙工程，成交方</w:t>
            </w:r>
            <w:r>
              <w:rPr>
                <w:rFonts w:ascii="仿宋_GB2312" w:hAnsi="仿宋_GB2312" w:cs="仿宋_GB2312" w:eastAsia="仿宋_GB2312"/>
                <w:sz w:val="22"/>
                <w:b/>
              </w:rPr>
              <w:t>免费提供系统相关接口对接服务及第三方系统接口改造费用，免费提供满足医院电子病历六级、互联互通五级乙等、智慧服务三级的相关内容升级改造服务。在建设和维保期内，如遇国家或上级主管部门政策调整、要求，</w:t>
            </w:r>
            <w:r>
              <w:rPr>
                <w:rFonts w:ascii="仿宋_GB2312" w:hAnsi="仿宋_GB2312" w:cs="仿宋_GB2312" w:eastAsia="仿宋_GB2312"/>
                <w:sz w:val="22"/>
                <w:b/>
              </w:rPr>
              <w:t>中标方</w:t>
            </w:r>
            <w:r>
              <w:rPr>
                <w:rFonts w:ascii="仿宋_GB2312" w:hAnsi="仿宋_GB2312" w:cs="仿宋_GB2312" w:eastAsia="仿宋_GB2312"/>
                <w:sz w:val="22"/>
                <w:b/>
              </w:rPr>
              <w:t>需无偿提供相关接口、技术、开发服务。</w:t>
            </w:r>
          </w:p>
          <w:p>
            <w:pPr>
              <w:pStyle w:val="null3"/>
              <w:spacing w:before="255" w:after="255"/>
              <w:ind w:left="570"/>
              <w:outlineLvl w:val="1"/>
            </w:pPr>
            <w:r>
              <w:rPr>
                <w:rFonts w:ascii="仿宋_GB2312" w:hAnsi="仿宋_GB2312" w:cs="仿宋_GB2312" w:eastAsia="仿宋_GB2312"/>
                <w:sz w:val="32"/>
                <w:b/>
              </w:rPr>
              <w:t>2.2项目工期</w:t>
            </w:r>
          </w:p>
          <w:p>
            <w:pPr>
              <w:pStyle w:val="null3"/>
              <w:ind w:firstLine="480"/>
            </w:pPr>
            <w:r>
              <w:rPr>
                <w:rFonts w:ascii="仿宋_GB2312" w:hAnsi="仿宋_GB2312" w:cs="仿宋_GB2312" w:eastAsia="仿宋_GB2312"/>
                <w:sz w:val="22"/>
              </w:rPr>
              <w:t>1、自采购结束后中标公司应予</w:t>
            </w:r>
            <w:r>
              <w:rPr>
                <w:rFonts w:ascii="仿宋_GB2312" w:hAnsi="仿宋_GB2312" w:cs="仿宋_GB2312" w:eastAsia="仿宋_GB2312"/>
                <w:sz w:val="22"/>
              </w:rPr>
              <w:t>15</w:t>
            </w:r>
            <w:r>
              <w:rPr>
                <w:rFonts w:ascii="仿宋_GB2312" w:hAnsi="仿宋_GB2312" w:cs="仿宋_GB2312" w:eastAsia="仿宋_GB2312"/>
                <w:sz w:val="22"/>
              </w:rPr>
              <w:t>个自然日内完成项目测试环境搭建，根据采购技术要求逐条测试，经采购方确认无误后签订项目合同，若采购方测试过程中确认测试情况与响应情况不符，成交放予以承担一切责任。</w:t>
            </w:r>
          </w:p>
          <w:p>
            <w:pPr>
              <w:pStyle w:val="null3"/>
              <w:ind w:firstLine="480"/>
            </w:pPr>
            <w:r>
              <w:rPr>
                <w:rFonts w:ascii="仿宋_GB2312" w:hAnsi="仿宋_GB2312" w:cs="仿宋_GB2312" w:eastAsia="仿宋_GB2312"/>
                <w:sz w:val="22"/>
              </w:rPr>
              <w:t>2、自合同签订起</w:t>
            </w:r>
            <w:r>
              <w:rPr>
                <w:rFonts w:ascii="仿宋_GB2312" w:hAnsi="仿宋_GB2312" w:cs="仿宋_GB2312" w:eastAsia="仿宋_GB2312"/>
                <w:sz w:val="22"/>
              </w:rPr>
              <w:t>6</w:t>
            </w:r>
            <w:r>
              <w:rPr>
                <w:rFonts w:ascii="仿宋_GB2312" w:hAnsi="仿宋_GB2312" w:cs="仿宋_GB2312" w:eastAsia="仿宋_GB2312"/>
                <w:sz w:val="22"/>
              </w:rPr>
              <w:t>个月内完成系统功能需求细化调研、设计开发、功能测试、应用培训、部署上线等工作。</w:t>
            </w:r>
          </w:p>
          <w:p>
            <w:pPr>
              <w:pStyle w:val="null3"/>
              <w:numPr>
                <w:ilvl w:val="0"/>
                <w:numId w:val="1"/>
              </w:numPr>
            </w:pPr>
            <w:r>
              <w:rPr>
                <w:rFonts w:ascii="仿宋_GB2312" w:hAnsi="仿宋_GB2312" w:cs="仿宋_GB2312" w:eastAsia="仿宋_GB2312"/>
                <w:sz w:val="32"/>
                <w:b/>
              </w:rPr>
              <w:t>2.3 项目培训</w:t>
            </w:r>
          </w:p>
          <w:p>
            <w:pPr>
              <w:pStyle w:val="null3"/>
              <w:ind w:firstLine="440"/>
            </w:pPr>
            <w:r>
              <w:rPr>
                <w:rFonts w:ascii="仿宋_GB2312" w:hAnsi="仿宋_GB2312" w:cs="仿宋_GB2312" w:eastAsia="仿宋_GB2312"/>
                <w:sz w:val="22"/>
              </w:rPr>
              <w:t>1、培训：培训对象包括系统管理员、医院管理人员、操作员，系统管理人员培训内容为系统中涉及的相关技术内容；医院管理人员培训内容为系统流程和相关管理思想；操作员为系统的操作培训。</w:t>
            </w:r>
          </w:p>
          <w:p>
            <w:pPr>
              <w:pStyle w:val="null3"/>
              <w:ind w:firstLine="440"/>
            </w:pPr>
            <w:r>
              <w:rPr>
                <w:rFonts w:ascii="仿宋_GB2312" w:hAnsi="仿宋_GB2312" w:cs="仿宋_GB2312" w:eastAsia="仿宋_GB2312"/>
                <w:sz w:val="22"/>
              </w:rPr>
              <w:t>2、根据医院的情况制定相关培训方案，课程设置等。包括培训资料、讲义等。</w:t>
            </w:r>
          </w:p>
          <w:p>
            <w:pPr>
              <w:pStyle w:val="null3"/>
              <w:ind w:firstLine="440"/>
            </w:pPr>
            <w:r>
              <w:rPr>
                <w:rFonts w:ascii="仿宋_GB2312" w:hAnsi="仿宋_GB2312" w:cs="仿宋_GB2312" w:eastAsia="仿宋_GB2312"/>
                <w:sz w:val="22"/>
              </w:rPr>
              <w:t>3、所有的培训费用必须计入投标总价。</w:t>
            </w:r>
          </w:p>
          <w:p>
            <w:pPr>
              <w:pStyle w:val="null3"/>
            </w:pPr>
            <w:r>
              <w:rPr>
                <w:rFonts w:ascii="仿宋_GB2312" w:hAnsi="仿宋_GB2312" w:cs="仿宋_GB2312" w:eastAsia="仿宋_GB2312"/>
                <w:sz w:val="32"/>
                <w:b/>
              </w:rPr>
              <w:t>2.4 售后服务</w:t>
            </w:r>
          </w:p>
          <w:p>
            <w:pPr>
              <w:pStyle w:val="null3"/>
              <w:numPr>
                <w:ilvl w:val="0"/>
                <w:numId w:val="1"/>
              </w:numPr>
            </w:pPr>
            <w:r>
              <w:rPr>
                <w:rFonts w:ascii="仿宋_GB2312" w:hAnsi="仿宋_GB2312" w:cs="仿宋_GB2312" w:eastAsia="仿宋_GB2312"/>
                <w:sz w:val="22"/>
              </w:rPr>
              <w:t>本次项目中涉及的产品须至少自验收之日起提供三</w:t>
            </w:r>
            <w:r>
              <w:rPr>
                <w:rFonts w:ascii="仿宋_GB2312" w:hAnsi="仿宋_GB2312" w:cs="仿宋_GB2312" w:eastAsia="仿宋_GB2312"/>
                <w:sz w:val="22"/>
              </w:rPr>
              <w:t>年</w:t>
            </w:r>
            <w:r>
              <w:rPr>
                <w:rFonts w:ascii="仿宋_GB2312" w:hAnsi="仿宋_GB2312" w:cs="仿宋_GB2312" w:eastAsia="仿宋_GB2312"/>
                <w:sz w:val="22"/>
              </w:rPr>
              <w:t>免费维保服务。</w:t>
            </w:r>
          </w:p>
          <w:p>
            <w:pPr>
              <w:pStyle w:val="null3"/>
              <w:numPr>
                <w:ilvl w:val="0"/>
                <w:numId w:val="1"/>
              </w:numPr>
            </w:pPr>
            <w:r>
              <w:rPr>
                <w:rFonts w:ascii="仿宋_GB2312" w:hAnsi="仿宋_GB2312" w:cs="仿宋_GB2312" w:eastAsia="仿宋_GB2312"/>
                <w:sz w:val="22"/>
              </w:rPr>
              <w:t>供应商应在响应文件中说明在免费维保期内提供的服务计划，维护范围包括（包括但不限于）软件安装，调试、维修，接口、集成、升级等内容</w:t>
            </w:r>
            <w:r>
              <w:rPr>
                <w:rFonts w:ascii="仿宋_GB2312" w:hAnsi="仿宋_GB2312" w:cs="仿宋_GB2312" w:eastAsia="仿宋_GB2312"/>
                <w:sz w:val="22"/>
              </w:rPr>
              <w:t>。</w:t>
            </w:r>
          </w:p>
          <w:p>
            <w:pPr>
              <w:pStyle w:val="null3"/>
              <w:numPr>
                <w:ilvl w:val="0"/>
                <w:numId w:val="1"/>
              </w:numPr>
            </w:pPr>
            <w:r>
              <w:rPr>
                <w:rFonts w:ascii="仿宋_GB2312" w:hAnsi="仿宋_GB2312" w:cs="仿宋_GB2312" w:eastAsia="仿宋_GB2312"/>
                <w:sz w:val="22"/>
              </w:rPr>
              <w:t>在免费维保期内，</w:t>
            </w:r>
            <w:r>
              <w:rPr>
                <w:rFonts w:ascii="仿宋_GB2312" w:hAnsi="仿宋_GB2312" w:cs="仿宋_GB2312" w:eastAsia="仿宋_GB2312"/>
                <w:sz w:val="22"/>
              </w:rPr>
              <w:t>供应商</w:t>
            </w:r>
            <w:r>
              <w:rPr>
                <w:rFonts w:ascii="仿宋_GB2312" w:hAnsi="仿宋_GB2312" w:cs="仿宋_GB2312" w:eastAsia="仿宋_GB2312"/>
                <w:sz w:val="22"/>
              </w:rPr>
              <w:t>应确保系统的正常使用。项目验收后有项目服务组人员驻场，根据实际需要，指定工程技术人员提供技术服务，采取现场支持、远程维护、电话、电子邮件、互联网远程支持等多种服务方式。</w:t>
            </w:r>
          </w:p>
          <w:p>
            <w:pPr>
              <w:pStyle w:val="null3"/>
              <w:numPr>
                <w:ilvl w:val="0"/>
                <w:numId w:val="1"/>
              </w:numPr>
            </w:pPr>
            <w:r>
              <w:rPr>
                <w:rFonts w:ascii="仿宋_GB2312" w:hAnsi="仿宋_GB2312" w:cs="仿宋_GB2312" w:eastAsia="仿宋_GB2312"/>
                <w:sz w:val="22"/>
              </w:rPr>
              <w:t>项目建设及维保期内，软件版本及相关知识库免费升级。</w:t>
            </w:r>
            <w:r>
              <w:rPr>
                <w:rFonts w:ascii="仿宋_GB2312" w:hAnsi="仿宋_GB2312" w:cs="仿宋_GB2312" w:eastAsia="仿宋_GB2312"/>
                <w:sz w:val="22"/>
              </w:rPr>
              <w:t>项目建设及维保期内，软件版本</w:t>
            </w:r>
            <w:r>
              <w:rPr>
                <w:rFonts w:ascii="仿宋_GB2312" w:hAnsi="仿宋_GB2312" w:cs="仿宋_GB2312" w:eastAsia="仿宋_GB2312"/>
                <w:sz w:val="22"/>
              </w:rPr>
              <w:t>及相关知识库免费升级。</w:t>
            </w:r>
            <w:r>
              <w:rPr>
                <w:rFonts w:ascii="仿宋_GB2312" w:hAnsi="仿宋_GB2312" w:cs="仿宋_GB2312" w:eastAsia="仿宋_GB2312"/>
                <w:sz w:val="22"/>
              </w:rPr>
              <w:t>如遇国家或上级主管部门政策调整、要求，</w:t>
            </w:r>
            <w:r>
              <w:rPr>
                <w:rFonts w:ascii="仿宋_GB2312" w:hAnsi="仿宋_GB2312" w:cs="仿宋_GB2312" w:eastAsia="仿宋_GB2312"/>
                <w:sz w:val="22"/>
              </w:rPr>
              <w:t>中标方</w:t>
            </w:r>
            <w:r>
              <w:rPr>
                <w:rFonts w:ascii="仿宋_GB2312" w:hAnsi="仿宋_GB2312" w:cs="仿宋_GB2312" w:eastAsia="仿宋_GB2312"/>
                <w:sz w:val="22"/>
              </w:rPr>
              <w:t>需无偿提供相关接口、技术、开发服务</w:t>
            </w:r>
            <w:r>
              <w:rPr>
                <w:rFonts w:ascii="仿宋_GB2312" w:hAnsi="仿宋_GB2312" w:cs="仿宋_GB2312" w:eastAsia="仿宋_GB2312"/>
                <w:sz w:val="22"/>
              </w:rPr>
              <w:t>。</w:t>
            </w:r>
          </w:p>
          <w:p>
            <w:pPr>
              <w:pStyle w:val="null3"/>
              <w:numPr>
                <w:ilvl w:val="0"/>
                <w:numId w:val="1"/>
              </w:numPr>
            </w:pPr>
            <w:r>
              <w:rPr>
                <w:rFonts w:ascii="仿宋_GB2312" w:hAnsi="仿宋_GB2312" w:cs="仿宋_GB2312" w:eastAsia="仿宋_GB2312"/>
                <w:sz w:val="22"/>
              </w:rPr>
              <w:t>在免费维保期内，提供全年每周</w:t>
            </w:r>
            <w:r>
              <w:rPr>
                <w:rFonts w:ascii="仿宋_GB2312" w:hAnsi="仿宋_GB2312" w:cs="仿宋_GB2312" w:eastAsia="仿宋_GB2312"/>
                <w:sz w:val="22"/>
              </w:rPr>
              <w:t>7天、每天24小时的全天候服务和每天24小时热线电话服务，包括节假日，电话响应时间不超过30分钟，一级故障处理时间不超过2h，二级故障处理时间不超过3h，三级故障处理时间不超过48h，四级故障处理时间不超过一周。</w:t>
            </w:r>
          </w:p>
          <w:p>
            <w:pPr>
              <w:pStyle w:val="null3"/>
              <w:ind w:left="480"/>
            </w:pPr>
            <w:r>
              <w:rPr>
                <w:rFonts w:ascii="仿宋_GB2312" w:hAnsi="仿宋_GB2312" w:cs="仿宋_GB2312" w:eastAsia="仿宋_GB2312"/>
                <w:sz w:val="22"/>
              </w:rPr>
              <w:t>一级故障：系统停机、数据库故障、服务器瘫痪等，或对正常业务运作有严重影响。</w:t>
            </w:r>
          </w:p>
          <w:p>
            <w:pPr>
              <w:pStyle w:val="null3"/>
              <w:ind w:left="480"/>
            </w:pPr>
            <w:r>
              <w:rPr>
                <w:rFonts w:ascii="仿宋_GB2312" w:hAnsi="仿宋_GB2312" w:cs="仿宋_GB2312" w:eastAsia="仿宋_GB2312"/>
                <w:sz w:val="22"/>
              </w:rPr>
              <w:t>二级故障：系统的操作性能严重下降，或由于系统性能明显下降，使业务运作有影响，系统功能</w:t>
            </w:r>
            <w:r>
              <w:rPr>
                <w:rFonts w:ascii="仿宋_GB2312" w:hAnsi="仿宋_GB2312" w:cs="仿宋_GB2312" w:eastAsia="仿宋_GB2312"/>
                <w:sz w:val="22"/>
              </w:rPr>
              <w:t>bug或日常故障。</w:t>
            </w:r>
          </w:p>
          <w:p>
            <w:pPr>
              <w:pStyle w:val="null3"/>
              <w:ind w:left="480"/>
            </w:pPr>
            <w:r>
              <w:rPr>
                <w:rFonts w:ascii="仿宋_GB2312" w:hAnsi="仿宋_GB2312" w:cs="仿宋_GB2312" w:eastAsia="仿宋_GB2312"/>
                <w:sz w:val="22"/>
              </w:rPr>
              <w:t>三级故障：系统的操作性能下降，但大部分业务运作仍可正常工作。</w:t>
            </w:r>
          </w:p>
          <w:p>
            <w:pPr>
              <w:pStyle w:val="null3"/>
              <w:ind w:left="480"/>
            </w:pPr>
            <w:r>
              <w:rPr>
                <w:rFonts w:ascii="仿宋_GB2312" w:hAnsi="仿宋_GB2312" w:cs="仿宋_GB2312" w:eastAsia="仿宋_GB2312"/>
                <w:sz w:val="22"/>
              </w:rPr>
              <w:t>四级故障：软件功能、硬件更换、接口对接或其他需要时间修改的问题。</w:t>
            </w:r>
          </w:p>
          <w:p>
            <w:pPr>
              <w:pStyle w:val="null3"/>
              <w:numPr>
                <w:ilvl w:val="0"/>
                <w:numId w:val="1"/>
              </w:numPr>
            </w:pPr>
            <w:r>
              <w:rPr>
                <w:rFonts w:ascii="仿宋_GB2312" w:hAnsi="仿宋_GB2312" w:cs="仿宋_GB2312" w:eastAsia="仿宋_GB2312"/>
                <w:sz w:val="22"/>
              </w:rPr>
              <w:t>项目验收合格后，每年不低于</w:t>
            </w:r>
            <w:r>
              <w:rPr>
                <w:rFonts w:ascii="仿宋_GB2312" w:hAnsi="仿宋_GB2312" w:cs="仿宋_GB2312" w:eastAsia="仿宋_GB2312"/>
                <w:sz w:val="22"/>
              </w:rPr>
              <w:t>4次的例行维护及巡检。例行维护内容包括：软件的功能增强性维护等应用软件系统扩充升级（其中包括系统维护、跟踪检测），保证投标方所产品的正常运行。</w:t>
            </w:r>
          </w:p>
          <w:p>
            <w:pPr>
              <w:pStyle w:val="null3"/>
              <w:numPr>
                <w:ilvl w:val="0"/>
                <w:numId w:val="1"/>
              </w:numPr>
            </w:pPr>
            <w:r>
              <w:rPr>
                <w:rFonts w:ascii="仿宋_GB2312" w:hAnsi="仿宋_GB2312" w:cs="仿宋_GB2312" w:eastAsia="仿宋_GB2312"/>
                <w:sz w:val="22"/>
              </w:rPr>
              <w:t>免费维保期满后，另签维保协议。每年的维保服务费不高于合同额的</w:t>
            </w:r>
            <w:r>
              <w:rPr>
                <w:rFonts w:ascii="仿宋_GB2312" w:hAnsi="仿宋_GB2312" w:cs="仿宋_GB2312" w:eastAsia="仿宋_GB2312"/>
                <w:sz w:val="22"/>
              </w:rPr>
              <w:t>5%。</w:t>
            </w:r>
          </w:p>
          <w:p>
            <w:pPr>
              <w:pStyle w:val="null3"/>
              <w:numPr>
                <w:ilvl w:val="0"/>
                <w:numId w:val="1"/>
              </w:numPr>
            </w:pPr>
            <w:r>
              <w:rPr>
                <w:rFonts w:ascii="仿宋_GB2312" w:hAnsi="仿宋_GB2312" w:cs="仿宋_GB2312" w:eastAsia="仿宋_GB2312"/>
                <w:sz w:val="22"/>
              </w:rPr>
              <w:t>项目验收之日起为项目</w:t>
            </w:r>
            <w:r>
              <w:rPr>
                <w:rFonts w:ascii="仿宋_GB2312" w:hAnsi="仿宋_GB2312" w:cs="仿宋_GB2312" w:eastAsia="仿宋_GB2312"/>
                <w:sz w:val="22"/>
              </w:rPr>
              <w:t>免费维护</w:t>
            </w:r>
            <w:r>
              <w:rPr>
                <w:rFonts w:ascii="仿宋_GB2312" w:hAnsi="仿宋_GB2312" w:cs="仿宋_GB2312" w:eastAsia="仿宋_GB2312"/>
                <w:sz w:val="22"/>
              </w:rPr>
              <w:t>期，</w:t>
            </w:r>
            <w:r>
              <w:rPr>
                <w:rFonts w:ascii="仿宋_GB2312" w:hAnsi="仿宋_GB2312" w:cs="仿宋_GB2312" w:eastAsia="仿宋_GB2312"/>
                <w:sz w:val="22"/>
              </w:rPr>
              <w:t>期间内，</w:t>
            </w:r>
            <w:r>
              <w:rPr>
                <w:rFonts w:ascii="仿宋_GB2312" w:hAnsi="仿宋_GB2312" w:cs="仿宋_GB2312" w:eastAsia="仿宋_GB2312"/>
                <w:sz w:val="22"/>
              </w:rPr>
              <w:t>采购方根据售后服务考核</w:t>
            </w:r>
            <w:r>
              <w:rPr>
                <w:rFonts w:ascii="仿宋_GB2312" w:hAnsi="仿宋_GB2312" w:cs="仿宋_GB2312" w:eastAsia="仿宋_GB2312"/>
                <w:sz w:val="22"/>
              </w:rPr>
              <w:t>情况，</w:t>
            </w:r>
            <w:r>
              <w:rPr>
                <w:rFonts w:ascii="仿宋_GB2312" w:hAnsi="仿宋_GB2312" w:cs="仿宋_GB2312" w:eastAsia="仿宋_GB2312"/>
                <w:sz w:val="22"/>
              </w:rPr>
              <w:t>因成交人</w:t>
            </w:r>
            <w:r>
              <w:rPr>
                <w:rFonts w:ascii="仿宋_GB2312" w:hAnsi="仿宋_GB2312" w:cs="仿宋_GB2312" w:eastAsia="仿宋_GB2312"/>
                <w:sz w:val="22"/>
              </w:rPr>
              <w:t>服务考核不</w:t>
            </w:r>
            <w:r>
              <w:rPr>
                <w:rFonts w:ascii="仿宋_GB2312" w:hAnsi="仿宋_GB2312" w:cs="仿宋_GB2312" w:eastAsia="仿宋_GB2312"/>
                <w:sz w:val="22"/>
              </w:rPr>
              <w:t>合格，采购方有权扣除合同款最高</w:t>
            </w:r>
            <w:r>
              <w:rPr>
                <w:rFonts w:ascii="仿宋_GB2312" w:hAnsi="仿宋_GB2312" w:cs="仿宋_GB2312" w:eastAsia="仿宋_GB2312"/>
                <w:sz w:val="22"/>
              </w:rPr>
              <w:t>10%作为违约金</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服务考核办法：</w:t>
            </w:r>
          </w:p>
          <w:p>
            <w:pPr>
              <w:pStyle w:val="null3"/>
              <w:ind w:firstLine="440"/>
              <w:jc w:val="both"/>
            </w:pPr>
            <w:r>
              <w:rPr>
                <w:rFonts w:ascii="仿宋_GB2312" w:hAnsi="仿宋_GB2312" w:cs="仿宋_GB2312" w:eastAsia="仿宋_GB2312"/>
                <w:sz w:val="22"/>
              </w:rPr>
              <w:t>1</w:t>
            </w:r>
            <w:r>
              <w:rPr>
                <w:rFonts w:ascii="仿宋_GB2312" w:hAnsi="仿宋_GB2312" w:cs="仿宋_GB2312" w:eastAsia="仿宋_GB2312"/>
                <w:sz w:val="22"/>
              </w:rPr>
              <w:t>）考核内容包括考勤、</w:t>
            </w:r>
            <w:r>
              <w:rPr>
                <w:rFonts w:ascii="仿宋_GB2312" w:hAnsi="仿宋_GB2312" w:cs="仿宋_GB2312" w:eastAsia="仿宋_GB2312"/>
                <w:sz w:val="22"/>
              </w:rPr>
              <w:t>项目文档资料</w:t>
            </w:r>
            <w:r>
              <w:rPr>
                <w:rFonts w:ascii="仿宋_GB2312" w:hAnsi="仿宋_GB2312" w:cs="仿宋_GB2312" w:eastAsia="仿宋_GB2312"/>
                <w:sz w:val="22"/>
              </w:rPr>
              <w:t>、系统软硬件事故</w:t>
            </w:r>
            <w:r>
              <w:rPr>
                <w:rFonts w:ascii="仿宋_GB2312" w:hAnsi="仿宋_GB2312" w:cs="仿宋_GB2312" w:eastAsia="仿宋_GB2312"/>
                <w:sz w:val="22"/>
              </w:rPr>
              <w:t>记录</w:t>
            </w:r>
            <w:r>
              <w:rPr>
                <w:rFonts w:ascii="仿宋_GB2312" w:hAnsi="仿宋_GB2312" w:cs="仿宋_GB2312" w:eastAsia="仿宋_GB2312"/>
                <w:sz w:val="22"/>
              </w:rPr>
              <w:t>、使用科室投诉</w:t>
            </w:r>
            <w:r>
              <w:rPr>
                <w:rFonts w:ascii="仿宋_GB2312" w:hAnsi="仿宋_GB2312" w:cs="仿宋_GB2312" w:eastAsia="仿宋_GB2312"/>
                <w:sz w:val="22"/>
              </w:rPr>
              <w:t>四</w:t>
            </w:r>
            <w:r>
              <w:rPr>
                <w:rFonts w:ascii="仿宋_GB2312" w:hAnsi="仿宋_GB2312" w:cs="仿宋_GB2312" w:eastAsia="仿宋_GB2312"/>
                <w:sz w:val="22"/>
              </w:rPr>
              <w:t>部分；</w:t>
            </w:r>
          </w:p>
          <w:p>
            <w:pPr>
              <w:pStyle w:val="null3"/>
              <w:ind w:firstLine="440"/>
              <w:jc w:val="both"/>
            </w:pPr>
            <w:r>
              <w:rPr>
                <w:rFonts w:ascii="仿宋_GB2312" w:hAnsi="仿宋_GB2312" w:cs="仿宋_GB2312" w:eastAsia="仿宋_GB2312"/>
                <w:sz w:val="22"/>
              </w:rPr>
              <w:t>2</w:t>
            </w:r>
            <w:r>
              <w:rPr>
                <w:rFonts w:ascii="仿宋_GB2312" w:hAnsi="仿宋_GB2312" w:cs="仿宋_GB2312" w:eastAsia="仿宋_GB2312"/>
                <w:sz w:val="22"/>
              </w:rPr>
              <w:t>）考勤指中标方运维团队或巡检团队，未能于计划规定时间内到岗或迟到或早退。需注明缺岗几人几次。每一人次，扣除考核分</w:t>
            </w:r>
            <w:r>
              <w:rPr>
                <w:rFonts w:ascii="仿宋_GB2312" w:hAnsi="仿宋_GB2312" w:cs="仿宋_GB2312" w:eastAsia="仿宋_GB2312"/>
                <w:sz w:val="22"/>
              </w:rPr>
              <w:t>1</w:t>
            </w:r>
            <w:r>
              <w:rPr>
                <w:rFonts w:ascii="仿宋_GB2312" w:hAnsi="仿宋_GB2312" w:cs="仿宋_GB2312" w:eastAsia="仿宋_GB2312"/>
                <w:sz w:val="22"/>
              </w:rPr>
              <w:t>分。未能于计划规定时间内迟到或早退，需注明几人几次，每一人次扣除考核分</w:t>
            </w:r>
            <w:r>
              <w:rPr>
                <w:rFonts w:ascii="仿宋_GB2312" w:hAnsi="仿宋_GB2312" w:cs="仿宋_GB2312" w:eastAsia="仿宋_GB2312"/>
                <w:sz w:val="22"/>
              </w:rPr>
              <w:t>0.5</w:t>
            </w:r>
            <w:r>
              <w:rPr>
                <w:rFonts w:ascii="仿宋_GB2312" w:hAnsi="仿宋_GB2312" w:cs="仿宋_GB2312" w:eastAsia="仿宋_GB2312"/>
                <w:sz w:val="22"/>
              </w:rPr>
              <w:t>分；</w:t>
            </w:r>
          </w:p>
          <w:p>
            <w:pPr>
              <w:pStyle w:val="null3"/>
              <w:ind w:firstLine="440"/>
              <w:jc w:val="both"/>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项目文档资料</w:t>
            </w:r>
            <w:r>
              <w:rPr>
                <w:rFonts w:ascii="仿宋_GB2312" w:hAnsi="仿宋_GB2312" w:cs="仿宋_GB2312" w:eastAsia="仿宋_GB2312"/>
                <w:sz w:val="22"/>
              </w:rPr>
              <w:t>不真实、不及时、不完整、缺失的扣除考核分</w:t>
            </w:r>
            <w:r>
              <w:rPr>
                <w:rFonts w:ascii="仿宋_GB2312" w:hAnsi="仿宋_GB2312" w:cs="仿宋_GB2312" w:eastAsia="仿宋_GB2312"/>
                <w:sz w:val="22"/>
              </w:rPr>
              <w:t>1</w:t>
            </w:r>
            <w:r>
              <w:rPr>
                <w:rFonts w:ascii="仿宋_GB2312" w:hAnsi="仿宋_GB2312" w:cs="仿宋_GB2312" w:eastAsia="仿宋_GB2312"/>
                <w:sz w:val="22"/>
              </w:rPr>
              <w:t>分；</w:t>
            </w:r>
          </w:p>
          <w:p>
            <w:pPr>
              <w:pStyle w:val="null3"/>
              <w:ind w:firstLine="440"/>
              <w:jc w:val="both"/>
            </w:pPr>
            <w:r>
              <w:rPr>
                <w:rFonts w:ascii="仿宋_GB2312" w:hAnsi="仿宋_GB2312" w:cs="仿宋_GB2312" w:eastAsia="仿宋_GB2312"/>
                <w:sz w:val="22"/>
              </w:rPr>
              <w:t>4</w:t>
            </w:r>
            <w:r>
              <w:rPr>
                <w:rFonts w:ascii="仿宋_GB2312" w:hAnsi="仿宋_GB2312" w:cs="仿宋_GB2312" w:eastAsia="仿宋_GB2312"/>
                <w:sz w:val="22"/>
              </w:rPr>
              <w:t>）系统软硬件事故</w:t>
            </w:r>
            <w:r>
              <w:rPr>
                <w:rFonts w:ascii="仿宋_GB2312" w:hAnsi="仿宋_GB2312" w:cs="仿宋_GB2312" w:eastAsia="仿宋_GB2312"/>
                <w:sz w:val="22"/>
              </w:rPr>
              <w:t>记录：</w:t>
            </w:r>
            <w:r>
              <w:rPr>
                <w:rFonts w:ascii="仿宋_GB2312" w:hAnsi="仿宋_GB2312" w:cs="仿宋_GB2312" w:eastAsia="仿宋_GB2312"/>
                <w:sz w:val="22"/>
              </w:rPr>
              <w:t>一级故障</w:t>
            </w:r>
            <w:r>
              <w:rPr>
                <w:rFonts w:ascii="仿宋_GB2312" w:hAnsi="仿宋_GB2312" w:cs="仿宋_GB2312" w:eastAsia="仿宋_GB2312"/>
                <w:sz w:val="22"/>
              </w:rPr>
              <w:t>处理未满足时效性要求，扣除考核分</w:t>
            </w:r>
            <w:r>
              <w:rPr>
                <w:rFonts w:ascii="仿宋_GB2312" w:hAnsi="仿宋_GB2312" w:cs="仿宋_GB2312" w:eastAsia="仿宋_GB2312"/>
                <w:sz w:val="22"/>
              </w:rPr>
              <w:t>10分；</w:t>
            </w:r>
            <w:r>
              <w:rPr>
                <w:rFonts w:ascii="仿宋_GB2312" w:hAnsi="仿宋_GB2312" w:cs="仿宋_GB2312" w:eastAsia="仿宋_GB2312"/>
                <w:sz w:val="22"/>
              </w:rPr>
              <w:t>二</w:t>
            </w:r>
            <w:r>
              <w:rPr>
                <w:rFonts w:ascii="仿宋_GB2312" w:hAnsi="仿宋_GB2312" w:cs="仿宋_GB2312" w:eastAsia="仿宋_GB2312"/>
                <w:sz w:val="22"/>
              </w:rPr>
              <w:t>级故障</w:t>
            </w:r>
            <w:r>
              <w:rPr>
                <w:rFonts w:ascii="仿宋_GB2312" w:hAnsi="仿宋_GB2312" w:cs="仿宋_GB2312" w:eastAsia="仿宋_GB2312"/>
                <w:sz w:val="22"/>
              </w:rPr>
              <w:t>处理未满足时效性要求，扣除考核分</w:t>
            </w:r>
            <w:r>
              <w:rPr>
                <w:rFonts w:ascii="仿宋_GB2312" w:hAnsi="仿宋_GB2312" w:cs="仿宋_GB2312" w:eastAsia="仿宋_GB2312"/>
                <w:sz w:val="22"/>
              </w:rPr>
              <w:t>5分；</w:t>
            </w:r>
            <w:r>
              <w:rPr>
                <w:rFonts w:ascii="仿宋_GB2312" w:hAnsi="仿宋_GB2312" w:cs="仿宋_GB2312" w:eastAsia="仿宋_GB2312"/>
                <w:sz w:val="22"/>
              </w:rPr>
              <w:t>三</w:t>
            </w:r>
            <w:r>
              <w:rPr>
                <w:rFonts w:ascii="仿宋_GB2312" w:hAnsi="仿宋_GB2312" w:cs="仿宋_GB2312" w:eastAsia="仿宋_GB2312"/>
                <w:sz w:val="22"/>
              </w:rPr>
              <w:t>级故障</w:t>
            </w:r>
            <w:r>
              <w:rPr>
                <w:rFonts w:ascii="仿宋_GB2312" w:hAnsi="仿宋_GB2312" w:cs="仿宋_GB2312" w:eastAsia="仿宋_GB2312"/>
                <w:sz w:val="22"/>
              </w:rPr>
              <w:t>处理未满足时效性要求，扣除考核分</w:t>
            </w:r>
            <w:r>
              <w:rPr>
                <w:rFonts w:ascii="仿宋_GB2312" w:hAnsi="仿宋_GB2312" w:cs="仿宋_GB2312" w:eastAsia="仿宋_GB2312"/>
                <w:sz w:val="22"/>
              </w:rPr>
              <w:t>3分；</w:t>
            </w:r>
            <w:r>
              <w:rPr>
                <w:rFonts w:ascii="仿宋_GB2312" w:hAnsi="仿宋_GB2312" w:cs="仿宋_GB2312" w:eastAsia="仿宋_GB2312"/>
                <w:sz w:val="22"/>
              </w:rPr>
              <w:t>四</w:t>
            </w:r>
            <w:r>
              <w:rPr>
                <w:rFonts w:ascii="仿宋_GB2312" w:hAnsi="仿宋_GB2312" w:cs="仿宋_GB2312" w:eastAsia="仿宋_GB2312"/>
                <w:sz w:val="22"/>
              </w:rPr>
              <w:t>级故障</w:t>
            </w:r>
            <w:r>
              <w:rPr>
                <w:rFonts w:ascii="仿宋_GB2312" w:hAnsi="仿宋_GB2312" w:cs="仿宋_GB2312" w:eastAsia="仿宋_GB2312"/>
                <w:sz w:val="22"/>
              </w:rPr>
              <w:t>处理未满足时效性要求，扣除考核分</w:t>
            </w:r>
            <w:r>
              <w:rPr>
                <w:rFonts w:ascii="仿宋_GB2312" w:hAnsi="仿宋_GB2312" w:cs="仿宋_GB2312" w:eastAsia="仿宋_GB2312"/>
                <w:sz w:val="22"/>
              </w:rPr>
              <w:t>2分；</w:t>
            </w:r>
          </w:p>
          <w:p>
            <w:pPr>
              <w:pStyle w:val="null3"/>
              <w:ind w:firstLine="440"/>
              <w:jc w:val="both"/>
            </w:pPr>
            <w:r>
              <w:rPr>
                <w:rFonts w:ascii="仿宋_GB2312" w:hAnsi="仿宋_GB2312" w:cs="仿宋_GB2312" w:eastAsia="仿宋_GB2312"/>
                <w:sz w:val="22"/>
              </w:rPr>
              <w:t>5</w:t>
            </w:r>
            <w:r>
              <w:rPr>
                <w:rFonts w:ascii="仿宋_GB2312" w:hAnsi="仿宋_GB2312" w:cs="仿宋_GB2312" w:eastAsia="仿宋_GB2312"/>
                <w:sz w:val="22"/>
              </w:rPr>
              <w:t>）使用科室有一条投诉记录，扣除考核分</w:t>
            </w:r>
            <w:r>
              <w:rPr>
                <w:rFonts w:ascii="仿宋_GB2312" w:hAnsi="仿宋_GB2312" w:cs="仿宋_GB2312" w:eastAsia="仿宋_GB2312"/>
                <w:sz w:val="22"/>
              </w:rPr>
              <w:t>5</w:t>
            </w:r>
            <w:r>
              <w:rPr>
                <w:rFonts w:ascii="仿宋_GB2312" w:hAnsi="仿宋_GB2312" w:cs="仿宋_GB2312" w:eastAsia="仿宋_GB2312"/>
                <w:sz w:val="22"/>
              </w:rPr>
              <w:t>分。</w:t>
            </w:r>
          </w:p>
          <w:p>
            <w:pPr>
              <w:pStyle w:val="null3"/>
              <w:spacing w:before="255" w:after="255"/>
              <w:ind w:left="570"/>
              <w:outlineLvl w:val="1"/>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供应商须派驻至少2名专职工程师进行本次项目需求细化调研、设计开发、功能测试、应用培训、部署上线、系统配置、数据准备等实施工作。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具有履行合同所必需的设备和专业技术能力。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自合同签订起6个月内完成系统功能需求细化调研、设计开发、功能测试、应用培训、部署上线等工作。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延安大学附属医院、心脑血管病医院、妇女儿童医院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1、采购人对供应商提供的产品在使用前进行调试时，供应商需负责安装并培训采购人的使用操作人员，并协助采购人一起调试，直到符合技术要求，采购人才做最终验收。 2、验收时采购方、成交供应商等项目相关方都须在场，验收完毕后一致作出验收结果报告。 3、交付文档验收要求： 项目的工作内容及成果文档的提交应保证完整，电子文档是成果不可分割的部分。项目资料需符合招标方项目管理要求，提交相应项目资料。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合同签订后满一周，中标方向采购方提供发票及付款申请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项目系统上线正常运行一个月且符合合同、采购文件、响应文件及实施计划的技术要求，采购方组织相关人员进行项目系统验收，双方签名确认验收报告</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双方约定项目系统上线正常运行三年后且符合合同、采购文件、响应文件及实施计划的技术要求，成交方向采购方提交付款申请，采购方收到付款申请后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服务质量标准：达到国家或行业现行合格标准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本项目非专门面向中小企业采购，供应商如为中型、小型、微型企业，并提供《中小企业声明函》（采购标的对应所属行业为软件和信息技术服务业，声明函格式按照《政府采购促进中小企业发展管理办法》（财库〔2020〕46号）要求提供）</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银行开户</w:t>
            </w:r>
          </w:p>
        </w:tc>
        <w:tc>
          <w:tcPr>
            <w:tcW w:type="dxa" w:w="3322"/>
          </w:tcPr>
          <w:p>
            <w:pPr>
              <w:pStyle w:val="null3"/>
            </w:pPr>
            <w:r>
              <w:rPr>
                <w:rFonts w:ascii="仿宋_GB2312" w:hAnsi="仿宋_GB2312" w:cs="仿宋_GB2312" w:eastAsia="仿宋_GB2312"/>
              </w:rPr>
              <w:t>银行开户许可证或开户行基本信息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法定代表人授权书（附法定代表人身份证复印件）及被授权人身份证（法定代表人直接参加须提供法定代表人身份证明及法定代表人身份证复印件）；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提供2024年度经审计完整的财务审计报告（成立时间至提交响应文件截止时间不足一年的可提供成立后任意时段的资产负债表）或三个月内其基本存款账户开户银行出具的资信证明；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提供截止磋商时间近一年内任意一个月已缴纳的纳税证明或完税证明，依法免税的供应商应提供相关文件证明；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提供截止磋商时间近一年内任意一个月的社会保障资金缴存证明或社保机构开具的社会保险参保缴费情况证明；依法不需要缴纳社会保障资金的应提供相关文件证明；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信用信誉</w:t>
            </w:r>
          </w:p>
        </w:tc>
        <w:tc>
          <w:tcPr>
            <w:tcW w:type="dxa" w:w="3322"/>
          </w:tcPr>
          <w:p>
            <w:pPr>
              <w:pStyle w:val="null3"/>
            </w:pPr>
            <w:r>
              <w:rPr>
                <w:rFonts w:ascii="仿宋_GB2312" w:hAnsi="仿宋_GB2312" w:cs="仿宋_GB2312" w:eastAsia="仿宋_GB2312"/>
              </w:rPr>
              <w:t>供应商未被列入“信用中国”网站中重大税收违法失信主体名单、“中国执行信息公开网”网站失信被执行人、中国政府采购网政府采购严重违法失信行为记录名单中被财政部门禁止参加政府采购活动的供应商；参加政府采购活动近三年内，在经营活动中没有重大违法记录声明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资格证明文件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符合采购文件的实质性要求</w:t>
            </w:r>
          </w:p>
        </w:tc>
        <w:tc>
          <w:tcPr>
            <w:tcW w:type="dxa" w:w="3322"/>
          </w:tcPr>
          <w:p>
            <w:pPr>
              <w:pStyle w:val="null3"/>
            </w:pPr>
            <w:r>
              <w:rPr>
                <w:rFonts w:ascii="仿宋_GB2312" w:hAnsi="仿宋_GB2312" w:cs="仿宋_GB2312" w:eastAsia="仿宋_GB2312"/>
              </w:rPr>
              <w:t>供应商按照采购文件要求上传响应文件并进行电子签章</w:t>
            </w:r>
          </w:p>
        </w:tc>
        <w:tc>
          <w:tcPr>
            <w:tcW w:type="dxa" w:w="1661"/>
          </w:tcPr>
          <w:p>
            <w:pPr>
              <w:pStyle w:val="null3"/>
            </w:pPr>
            <w:r>
              <w:rPr>
                <w:rFonts w:ascii="仿宋_GB2312" w:hAnsi="仿宋_GB2312" w:cs="仿宋_GB2312" w:eastAsia="仿宋_GB2312"/>
              </w:rPr>
              <w:t>人员配备 售后服务方案 技术偏离表 磋商保证金 中小企业声明函 业绩 供应商认为有必要说明的其他问题 报价表 项目理解及分析 响应文件封面 资格证明文件 质量保证措施 项目进度计划与措施 商务偏离表 培训方案 残疾人福利性单位声明函 组织管理措施 标的清单 技术参数响应 供应商承诺书 响应函 监狱企业的证明文件 实施方案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响应文件的语言及计量单位</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服务质量</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均符合采购文件要求</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根据采购文件中技术参数提供相应的演示截图或证明资料，完全响应或优于采购文件要求得20分。带“*”技术参数为重要参数，每有一项负偏离减2分，其他项为普通技术参数，每有一项负偏离减1分，减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w:t>
            </w:r>
          </w:p>
          <w:p>
            <w:pPr>
              <w:pStyle w:val="null3"/>
            </w:pPr>
            <w:r>
              <w:rPr>
                <w:rFonts w:ascii="仿宋_GB2312" w:hAnsi="仿宋_GB2312" w:cs="仿宋_GB2312" w:eastAsia="仿宋_GB2312"/>
              </w:rPr>
              <w:t>技术参数响应</w:t>
            </w:r>
          </w:p>
        </w:tc>
      </w:tr>
      <w:tr>
        <w:tc>
          <w:tcPr>
            <w:tcW w:type="dxa" w:w="831"/>
            <w:vMerge/>
          </w:tcPr>
          <w:p/>
        </w:tc>
        <w:tc>
          <w:tcPr>
            <w:tcW w:type="dxa" w:w="1661"/>
          </w:tcPr>
          <w:p>
            <w:pPr>
              <w:pStyle w:val="null3"/>
            </w:pPr>
            <w:r>
              <w:rPr>
                <w:rFonts w:ascii="仿宋_GB2312" w:hAnsi="仿宋_GB2312" w:cs="仿宋_GB2312" w:eastAsia="仿宋_GB2312"/>
              </w:rPr>
              <w:t>项目理解及分析</w:t>
            </w:r>
          </w:p>
        </w:tc>
        <w:tc>
          <w:tcPr>
            <w:tcW w:type="dxa" w:w="2492"/>
          </w:tcPr>
          <w:p>
            <w:pPr>
              <w:pStyle w:val="null3"/>
            </w:pPr>
            <w:r>
              <w:rPr>
                <w:rFonts w:ascii="仿宋_GB2312" w:hAnsi="仿宋_GB2312" w:cs="仿宋_GB2312" w:eastAsia="仿宋_GB2312"/>
              </w:rPr>
              <w:t>一、评审内容 供应商根据本项目特点提出理解及分析方案，内容包括：①项目背景与意义②项目发展需求③项目重难点分析。 二、评审标准 1.完整性：方案内容全面，有详细描述及其他内容的补充； 2.符合性：符合项目实际特点，合理、恰当； 3.针对性：切合本项目实际情况，叙述清楚，符合客观实际情况； 三、赋分标准（满分9分） ①项目背景与意义：每完全满足一个评审标准得 1分，满分3分； ②项目目标与内容：每完全满足一个评审标准得 1分，满分 3分； ③项目预期效果：每完全满足一个评审标准得 1分，满分 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项目理解及分析</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供应商根据本项目特点提出项目实施方案，内容包括：①项目实施的特点②关键技术问题的认识③关键技术问题的对策措施。 二、评审标准 1.完整性：方案内容全面，有详细描述及其他内容的补充； 2.符合性：符合项目实际特点，合理、恰当； 3.针对性：切合本项目实际情况，叙述清楚，符合客观实际情况； 三、赋分标准（满分 9分） ①项目实施的特点：每完全满足一个评审标准得 1分，满分3分； ②关键技术问题的认识：每完全满足一个评审标准得1分，满分3分； ③关键技术问题的对策措施：每完全满足一个评审标准得1分，满分3分；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项目进度计划与措施</w:t>
            </w:r>
          </w:p>
        </w:tc>
        <w:tc>
          <w:tcPr>
            <w:tcW w:type="dxa" w:w="2492"/>
          </w:tcPr>
          <w:p>
            <w:pPr>
              <w:pStyle w:val="null3"/>
            </w:pPr>
            <w:r>
              <w:rPr>
                <w:rFonts w:ascii="仿宋_GB2312" w:hAnsi="仿宋_GB2312" w:cs="仿宋_GB2312" w:eastAsia="仿宋_GB2312"/>
              </w:rPr>
              <w:t>一、评审内容 供应商根据本项目特点提出项目进度计划与措施，内容包括：①项目进度计划②计划保障措施③关键时间节点把握的情况。 二、评审标准 1.完整性：方案内容全面，有详细描述及其他内容的补充； 2.符合性：符合项目实际特点，合理、恰当； 三、赋分标准（满分 9分） ①项目进度计划：每完全满足一个评审标准得 1.5分，满分3分； ②计划保障措施：每完全满足一个评审标准得 1.5分，满分3分； ③关键时间节点把握的情况：每完全满足一个评审标准得 1.5分，满分3分；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项目进度计划与措施</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供应商根据本项目特点提出质量保证措施，内容包括：①质量控制方案②质量体系建设。 二、评审标准 1.完整性：方案内容全面，有详细描述及其他内容的补充； 2.符合性：符合项目实际特点，合理、恰当； 三、赋分标准（满分 6分） ①质量控制方案：每完全满足一个评审标准得1.5分，满分3分； ②质量体系建设：每完全满足一个评审标准得1.5分，满分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w:t>
            </w:r>
          </w:p>
        </w:tc>
      </w:tr>
      <w:tr>
        <w:tc>
          <w:tcPr>
            <w:tcW w:type="dxa" w:w="831"/>
            <w:vMerge/>
          </w:tcPr>
          <w:p/>
        </w:tc>
        <w:tc>
          <w:tcPr>
            <w:tcW w:type="dxa" w:w="1661"/>
          </w:tcPr>
          <w:p>
            <w:pPr>
              <w:pStyle w:val="null3"/>
            </w:pPr>
            <w:r>
              <w:rPr>
                <w:rFonts w:ascii="仿宋_GB2312" w:hAnsi="仿宋_GB2312" w:cs="仿宋_GB2312" w:eastAsia="仿宋_GB2312"/>
              </w:rPr>
              <w:t>组织管理措施</w:t>
            </w:r>
          </w:p>
        </w:tc>
        <w:tc>
          <w:tcPr>
            <w:tcW w:type="dxa" w:w="2492"/>
          </w:tcPr>
          <w:p>
            <w:pPr>
              <w:pStyle w:val="null3"/>
            </w:pPr>
            <w:r>
              <w:rPr>
                <w:rFonts w:ascii="仿宋_GB2312" w:hAnsi="仿宋_GB2312" w:cs="仿宋_GB2312" w:eastAsia="仿宋_GB2312"/>
              </w:rPr>
              <w:t>一、评审内容 供应商根据本项目特点提出项目组织管理措施，内容包括：①项目组织机构②管理措施完善。 二、评审标准 1.完整性：方案内容全面，有详细描述及其他内容的补充； 2.符合性：符合项目实际特点，合理、恰当； 三、赋分标准（满分 6分） ①项目组织机构：每完全满足一个评审标准得1.5分，满分3分； ②管理措施完善：每完全满足一个评审标准得1.5 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组织管理措施</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供应商根据本项目特点提出项目售后服务方案，内容包括：①后续服务内容②服务保证措施。 二、评审标准 1.完整性：方案内容全面，有详细描述及其他内容的补充； 2.符合性：符合项目实际特点，合理、恰当； 三、赋分标准（满分6分） ①后续服务内容：每完全满足一个评审标准得 1.5 分，满分3分； ②服务保证措施：每完全满足一个评审标准得 1.5 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一、评审内容供应商根据本项目特点提出项目培训方案内容包括：①培训计划 ②培训服务措施二、评审标准 1.完整性：方案内容全面，有详细描述及其他内容的补充； 2.符合性：符合项目实际特点，合理、恰当； 三、赋分标准（满分 6分） ①培训计划：每完全满足一个评审标准得 1.5 分，满分3分； ②培训服务措施：每完全满足一个评审标准得 1.5分，满分3分；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1、项目负责人：具备高级信息系统项目管理师证书的得2分、具有pmp证书得1分。 2、其他技术人员： 每具有一名高级信息系统项目管理师证书得2分，每具有一个pmp证书1分，共计4分。 3、团队其他成员：具有本科及以上学历的，每提供1名计1分，满分3分。 所有人员需提供相应证件、截止至磋商时间前一年内任意一个月社保缴纳证明等相关资料，不提供不得分。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供应商提供2023年1月至今已完成的信息化业绩，提供一份得2分，最高得10分。（提供合同复印件）。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1、实质性满足磋商文件要求且最后报价最低价为磋商基准价，其价格分为满分10分。其它供应商的价格分统一按照下列公式计算：磋商报价得分=（磋商基准价/最后磋商报价）×10； 2、评审委员会有二分之一以上成员认为供应商的报价明显低于其他响应报价、或明显低于市场价格，使得其响应报价可能低于其成本的，应当要求该单位作出书面说明并提供相应的证明材料。该单位不能合理说明或者不能提供相应证明材料的，由评审委员会认定该供应商以低于成本报价竞标，其供应商响应文件作无效文件处理。3、根据《财政部民政部中国残疾人联合会关于促进残疾人就业政府采购政策的通知》（财库〔2017〕141号）的规定，对符合条件的残疾人福利性单位产品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详见附件：技术参数响应</w:t>
      </w:r>
    </w:p>
    <w:p>
      <w:pPr>
        <w:pStyle w:val="null3"/>
        <w:ind w:firstLine="960"/>
      </w:pPr>
      <w:r>
        <w:rPr>
          <w:rFonts w:ascii="仿宋_GB2312" w:hAnsi="仿宋_GB2312" w:cs="仿宋_GB2312" w:eastAsia="仿宋_GB2312"/>
        </w:rPr>
        <w:t>详见附件：项目理解及分析</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详见附件：项目进度计划与措施</w:t>
      </w:r>
    </w:p>
    <w:p>
      <w:pPr>
        <w:pStyle w:val="null3"/>
        <w:ind w:firstLine="960"/>
      </w:pPr>
      <w:r>
        <w:rPr>
          <w:rFonts w:ascii="仿宋_GB2312" w:hAnsi="仿宋_GB2312" w:cs="仿宋_GB2312" w:eastAsia="仿宋_GB2312"/>
        </w:rPr>
        <w:t>详见附件：质量保证措施</w:t>
      </w:r>
    </w:p>
    <w:p>
      <w:pPr>
        <w:pStyle w:val="null3"/>
        <w:ind w:firstLine="960"/>
      </w:pPr>
      <w:r>
        <w:rPr>
          <w:rFonts w:ascii="仿宋_GB2312" w:hAnsi="仿宋_GB2312" w:cs="仿宋_GB2312" w:eastAsia="仿宋_GB2312"/>
        </w:rPr>
        <w:t>详见附件：组织管理措施</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详见附件：人员配备</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详见附件：供应商认为有必要说明的其他问题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