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版本号：政采-省本级-2026-0191420260401001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陕西省“十五五”大中型水闸安全监测实施方案</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政采-省本级-2026-01914</w:t>
      </w:r>
      <w:r>
        <w:br/>
      </w:r>
      <w:r>
        <w:br/>
      </w:r>
      <w:r>
        <w:br/>
      </w:r>
    </w:p>
    <w:p>
      <w:pPr>
        <w:pStyle w:val="null3"/>
        <w:jc w:val="center"/>
        <w:outlineLvl w:val="2"/>
      </w:pPr>
      <w:r>
        <w:rPr>
          <w:rFonts w:ascii="仿宋_GB2312" w:hAnsi="仿宋_GB2312" w:cs="仿宋_GB2312" w:eastAsia="仿宋_GB2312"/>
          <w:sz w:val="28"/>
          <w:b/>
        </w:rPr>
        <w:t>陕西省水利厅机关</w:t>
      </w:r>
    </w:p>
    <w:p>
      <w:pPr>
        <w:pStyle w:val="null3"/>
        <w:jc w:val="center"/>
        <w:outlineLvl w:val="2"/>
      </w:pPr>
      <w:r>
        <w:rPr>
          <w:rFonts w:ascii="仿宋_GB2312" w:hAnsi="仿宋_GB2312" w:cs="仿宋_GB2312" w:eastAsia="仿宋_GB2312"/>
          <w:sz w:val="28"/>
          <w:b/>
        </w:rPr>
        <w:t>陕西泰诚邦工程管理有限公司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陕西泰诚邦工程管理有限公司</w:t>
      </w:r>
      <w:r>
        <w:rPr>
          <w:rFonts w:ascii="仿宋_GB2312" w:hAnsi="仿宋_GB2312" w:cs="仿宋_GB2312" w:eastAsia="仿宋_GB2312"/>
        </w:rPr>
        <w:t>（以下简称“代理机构”）受</w:t>
      </w:r>
      <w:r>
        <w:rPr>
          <w:rFonts w:ascii="仿宋_GB2312" w:hAnsi="仿宋_GB2312" w:cs="仿宋_GB2312" w:eastAsia="仿宋_GB2312"/>
        </w:rPr>
        <w:t>陕西省水利厅机关</w:t>
      </w:r>
      <w:r>
        <w:rPr>
          <w:rFonts w:ascii="仿宋_GB2312" w:hAnsi="仿宋_GB2312" w:cs="仿宋_GB2312" w:eastAsia="仿宋_GB2312"/>
        </w:rPr>
        <w:t>委托，拟对</w:t>
      </w:r>
      <w:r>
        <w:rPr>
          <w:rFonts w:ascii="仿宋_GB2312" w:hAnsi="仿宋_GB2312" w:cs="仿宋_GB2312" w:eastAsia="仿宋_GB2312"/>
        </w:rPr>
        <w:t>陕西省“十五五”大中型水闸安全监测实施方案</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政采-省本级-2026-01914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陕西省“十五五”大中型水闸安全监测实施方案</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水利部和陕西省水利厅关于“十五五”大中型水闸安全监测建设要求，依托省市两级智慧水利建设成果，通过补充完善水闸工程数据底板、数据资源、模型和知识库，建设数字孪生水闸平台，实现安全监测分析预警、金结电气监测、智能巡检等业务“四预”应用，为水闸安全运行、工程防洪调度提供决策依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1、营业执照或事业单位法人证书：供应商为合法注册的法人、其他组织，具有独立承担民事责任的能力，提供营业执照或事业单位法人证书复印件，供应商为自然人的提供身份证复印件。</w:t>
      </w:r>
    </w:p>
    <w:p>
      <w:pPr>
        <w:pStyle w:val="null3"/>
      </w:pPr>
      <w:r>
        <w:rPr>
          <w:rFonts w:ascii="仿宋_GB2312" w:hAnsi="仿宋_GB2312" w:cs="仿宋_GB2312" w:eastAsia="仿宋_GB2312"/>
        </w:rPr>
        <w:t>2、税收缴纳证明：提供递交响应文件截止之日前一年内任意一个月的依法缴纳税收的相关凭据（时间以税款所属日期为准）复印件。依法免税或无须缴纳税收的供应商，应提供相应证明文件复印件。</w:t>
      </w:r>
    </w:p>
    <w:p>
      <w:pPr>
        <w:pStyle w:val="null3"/>
      </w:pPr>
      <w:r>
        <w:rPr>
          <w:rFonts w:ascii="仿宋_GB2312" w:hAnsi="仿宋_GB2312" w:cs="仿宋_GB2312" w:eastAsia="仿宋_GB2312"/>
        </w:rPr>
        <w:t>3、社保缴纳证明：提供递交响应文件截止之日前一年内任意一个月的社会保障资金缴存单据或社保机构开具的社会保险参保缴费情况证明复印件。依法不需要缴纳社会保障资金的的供应商应提供相应证明文件复印件。</w:t>
      </w:r>
    </w:p>
    <w:p>
      <w:pPr>
        <w:pStyle w:val="null3"/>
      </w:pPr>
      <w:r>
        <w:rPr>
          <w:rFonts w:ascii="仿宋_GB2312" w:hAnsi="仿宋_GB2312" w:cs="仿宋_GB2312" w:eastAsia="仿宋_GB2312"/>
        </w:rPr>
        <w:t>4、具有履行本合同所必需的设备和专业技术能力：提供具有履行本合同所必需的设备和专业技术能力的承诺并加盖公章。</w:t>
      </w:r>
    </w:p>
    <w:p>
      <w:pPr>
        <w:pStyle w:val="null3"/>
      </w:pPr>
      <w:r>
        <w:rPr>
          <w:rFonts w:ascii="仿宋_GB2312" w:hAnsi="仿宋_GB2312" w:cs="仿宋_GB2312" w:eastAsia="仿宋_GB2312"/>
        </w:rPr>
        <w:t>5、没有重大违法记录的书面声明：参加政府采购活动前三年内，在经营活动中没有重大违法记录书面声明并加盖公章。</w:t>
      </w:r>
    </w:p>
    <w:p>
      <w:pPr>
        <w:pStyle w:val="null3"/>
      </w:pPr>
      <w:r>
        <w:rPr>
          <w:rFonts w:ascii="仿宋_GB2312" w:hAnsi="仿宋_GB2312" w:cs="仿宋_GB2312" w:eastAsia="仿宋_GB2312"/>
        </w:rPr>
        <w:t>6、信用中国和中国政府采购网查询截图：供应商不得为“信用中国”网站中重大税收违法案件当事人名单和“中国执行信息公开网”中列入失信被执行人名单，不得为中国政府采购网（www.ccgp.gov.cn）政府采购严重违法失信行为记录名单中被财政部门禁止参加政府采购活动的供应商，附网站截图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陕西省水利厅机关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尚德路150号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孙田澜</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13186143620</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陕西泰诚邦工程管理有限公司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陕西省榆林市榆阳区文化南路榆溪雅园西门227号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719000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申工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13772065869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代理服务费参照国家计委关于印发《招标代理服务收费管理暂行办法》的通知（计价格〔2002〕1980号）、《国家发展和改革委员会办公厅关于招标代理服务收费有关问题的通知》（发改办价格〔2003〕857号）及（发改办价格〔2011〕534号）规定的标准收取。成交供应商在领取成交通知书前，须向代理机构一次性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陕西省水利厅机关</w:t>
      </w:r>
      <w:r>
        <w:rPr>
          <w:rFonts w:ascii="仿宋_GB2312" w:hAnsi="仿宋_GB2312" w:cs="仿宋_GB2312" w:eastAsia="仿宋_GB2312"/>
        </w:rPr>
        <w:t>和</w:t>
      </w:r>
      <w:r>
        <w:rPr>
          <w:rFonts w:ascii="仿宋_GB2312" w:hAnsi="仿宋_GB2312" w:cs="仿宋_GB2312" w:eastAsia="仿宋_GB2312"/>
        </w:rPr>
        <w:t>陕西泰诚邦工程管理有限公司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陕西省水利厅机关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陕西泰诚邦工程管理有限公司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陕西省水利厅机关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陕西泰诚邦工程管理有限公司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符合竞争性磋商文件、响应文件、合同文本、国内相应的标准、规范。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陕西泰诚邦工程管理有限公司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联系人：申工</w:t>
      </w:r>
    </w:p>
    <w:p>
      <w:pPr>
        <w:pStyle w:val="null3"/>
      </w:pPr>
      <w:r>
        <w:rPr>
          <w:rFonts w:ascii="仿宋_GB2312" w:hAnsi="仿宋_GB2312" w:cs="仿宋_GB2312" w:eastAsia="仿宋_GB2312"/>
        </w:rPr>
        <w:t>联系电话：13772065869</w:t>
      </w:r>
    </w:p>
    <w:p>
      <w:pPr>
        <w:pStyle w:val="null3"/>
      </w:pPr>
      <w:r>
        <w:rPr>
          <w:rFonts w:ascii="仿宋_GB2312" w:hAnsi="仿宋_GB2312" w:cs="仿宋_GB2312" w:eastAsia="仿宋_GB2312"/>
        </w:rPr>
        <w:t>地址：榆林市榆阳区文化南路榆溪雅园西门227号</w:t>
      </w:r>
    </w:p>
    <w:p>
      <w:pPr>
        <w:pStyle w:val="null3"/>
      </w:pPr>
      <w:r>
        <w:rPr>
          <w:rFonts w:ascii="仿宋_GB2312" w:hAnsi="仿宋_GB2312" w:cs="仿宋_GB2312" w:eastAsia="仿宋_GB2312"/>
        </w:rPr>
        <w:t>邮编：719000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水利部和陕西省水利厅关于“十五五”大中型水闸安全监测建设要求，依托省市两级智慧水利建设成果，通过补充完善水闸工程数据底板、数据资源、模型和知识库，建设数字孪生水闸平台，实现安全监测分析预警、金结电气监测、智能巡检等业务“四预”应用，为水闸安全运行、工程防洪调度提供决策依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260,000.00</w:t>
      </w:r>
    </w:p>
    <w:p>
      <w:pPr>
        <w:pStyle w:val="null3"/>
      </w:pPr>
      <w:r>
        <w:rPr>
          <w:rFonts w:ascii="仿宋_GB2312" w:hAnsi="仿宋_GB2312" w:cs="仿宋_GB2312" w:eastAsia="仿宋_GB2312"/>
        </w:rPr>
        <w:t>采购包最高限价（元）: 260,000.00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陕西省"十五五"大中型水闸安全监测实施方案</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260,000.00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标的名称：陕西省"十五五"大中型水闸安全监测实施方案</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1"/>
                <w:color w:val="000000"/>
              </w:rPr>
              <w:t>满足国家相关技术规范及有关政策的要求。</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 xml:space="preserve">  </w:t>
            </w:r>
            <w:r>
              <w:rPr>
                <w:rFonts w:ascii="仿宋_GB2312" w:hAnsi="仿宋_GB2312" w:cs="仿宋_GB2312" w:eastAsia="仿宋_GB2312"/>
                <w:sz w:val="21"/>
              </w:rPr>
              <w:t xml:space="preserve">  一、主要工作内容</w:t>
            </w:r>
            <w:r>
              <w:rPr>
                <w:rFonts w:ascii="仿宋_GB2312" w:hAnsi="仿宋_GB2312" w:cs="仿宋_GB2312" w:eastAsia="仿宋_GB2312"/>
                <w:sz w:val="21"/>
                <w:color w:val="0A82E5"/>
                <w:shd w:fill="FFFFFF" w:val="clear"/>
              </w:rPr>
              <w:t xml:space="preserve"> </w:t>
            </w:r>
          </w:p>
          <w:p>
            <w:pPr>
              <w:pStyle w:val="null3"/>
              <w:ind w:firstLine="554"/>
              <w:jc w:val="both"/>
            </w:pPr>
            <w:r>
              <w:rPr>
                <w:rFonts w:ascii="仿宋_GB2312" w:hAnsi="仿宋_GB2312" w:cs="仿宋_GB2312" w:eastAsia="仿宋_GB2312"/>
                <w:sz w:val="21"/>
              </w:rPr>
              <w:t>依据《水闸安全监测技术规范》（SL768-2018）和《大中型水闸工程标准化管理评价标准》对大型水闸安全监测要求，制定水闸安全监测实施范围和内容。同时根据水利部和陕西省水利厅关于“十五五”大中型水闸安全监测建设要求，在水闸安全监测设施提升改造的基础上，提高水闸安全监测信息化水平，实现水闸“天空地水工”一体化监测感知技术全覆盖。</w:t>
            </w:r>
          </w:p>
          <w:p>
            <w:pPr>
              <w:pStyle w:val="null3"/>
            </w:pPr>
            <w:r>
              <w:rPr>
                <w:rFonts w:ascii="仿宋_GB2312" w:hAnsi="仿宋_GB2312" w:cs="仿宋_GB2312" w:eastAsia="仿宋_GB2312"/>
                <w:sz w:val="21"/>
              </w:rPr>
              <w:t xml:space="preserve">  </w:t>
            </w:r>
            <w:r>
              <w:rPr>
                <w:rFonts w:ascii="仿宋_GB2312" w:hAnsi="仿宋_GB2312" w:cs="仿宋_GB2312" w:eastAsia="仿宋_GB2312"/>
                <w:sz w:val="21"/>
              </w:rPr>
              <w:t>（一）存在的问题分析</w:t>
            </w:r>
          </w:p>
          <w:p>
            <w:pPr>
              <w:pStyle w:val="null3"/>
            </w:pPr>
            <w:r>
              <w:rPr>
                <w:rFonts w:ascii="仿宋_GB2312" w:hAnsi="仿宋_GB2312" w:cs="仿宋_GB2312" w:eastAsia="仿宋_GB2312"/>
                <w:sz w:val="21"/>
              </w:rPr>
              <w:t xml:space="preserve">  1、梳理全省大中型水闸基本情况，安全监测和雨水情监测设施现状情况，省内安全监测数据平台应用情况。</w:t>
            </w:r>
          </w:p>
          <w:p>
            <w:pPr>
              <w:pStyle w:val="null3"/>
            </w:pPr>
            <w:r>
              <w:rPr>
                <w:rFonts w:ascii="仿宋_GB2312" w:hAnsi="仿宋_GB2312" w:cs="仿宋_GB2312" w:eastAsia="仿宋_GB2312"/>
                <w:sz w:val="21"/>
              </w:rPr>
              <w:t xml:space="preserve">  2、梳理全省大中型水闸监测设施运行建设情况；监测设施运行维护能力建设、人员配置及培训情况、信息安全防护情况。</w:t>
            </w:r>
          </w:p>
          <w:p>
            <w:pPr>
              <w:pStyle w:val="null3"/>
            </w:pPr>
            <w:r>
              <w:rPr>
                <w:rFonts w:ascii="仿宋_GB2312" w:hAnsi="仿宋_GB2312" w:cs="仿宋_GB2312" w:eastAsia="仿宋_GB2312"/>
                <w:sz w:val="21"/>
              </w:rPr>
              <w:t xml:space="preserve">  3、从安全监测设施建设、运行、完好率、新技术应用、智能监测、监测管理监督等方面描述目前存在的问题。</w:t>
            </w:r>
          </w:p>
          <w:p>
            <w:pPr>
              <w:pStyle w:val="null3"/>
              <w:ind w:firstLine="554"/>
              <w:jc w:val="both"/>
            </w:pPr>
            <w:r>
              <w:rPr>
                <w:rFonts w:ascii="仿宋_GB2312" w:hAnsi="仿宋_GB2312" w:cs="仿宋_GB2312" w:eastAsia="仿宋_GB2312"/>
                <w:sz w:val="21"/>
              </w:rPr>
              <w:t>（二）建设内容</w:t>
            </w:r>
          </w:p>
          <w:p>
            <w:pPr>
              <w:pStyle w:val="null3"/>
              <w:ind w:firstLine="554"/>
              <w:jc w:val="both"/>
            </w:pPr>
            <w:r>
              <w:rPr>
                <w:rFonts w:ascii="仿宋_GB2312" w:hAnsi="仿宋_GB2312" w:cs="仿宋_GB2312" w:eastAsia="仿宋_GB2312"/>
                <w:sz w:val="21"/>
              </w:rPr>
              <w:t>陕西省大中型水闸共16座，其中大（1）型3座、大（2）型2座、中型11座。</w:t>
            </w:r>
            <w:r>
              <w:rPr>
                <w:rFonts w:ascii="仿宋_GB2312" w:hAnsi="仿宋_GB2312" w:cs="仿宋_GB2312" w:eastAsia="仿宋_GB2312"/>
                <w:sz w:val="21"/>
              </w:rPr>
              <w:t>水闸工程安全监测内容包含：环境量、变形、渗流及专项监测等。</w:t>
            </w:r>
          </w:p>
          <w:p>
            <w:pPr>
              <w:pStyle w:val="null3"/>
              <w:ind w:firstLine="554"/>
              <w:jc w:val="both"/>
            </w:pPr>
            <w:r>
              <w:rPr>
                <w:rFonts w:ascii="仿宋_GB2312" w:hAnsi="仿宋_GB2312" w:cs="仿宋_GB2312" w:eastAsia="仿宋_GB2312"/>
                <w:sz w:val="21"/>
              </w:rPr>
              <w:t>二、标准规范</w:t>
            </w:r>
          </w:p>
          <w:p>
            <w:pPr>
              <w:pStyle w:val="null3"/>
              <w:ind w:firstLine="554"/>
              <w:jc w:val="both"/>
            </w:pPr>
            <w:r>
              <w:rPr>
                <w:rFonts w:ascii="仿宋_GB2312" w:hAnsi="仿宋_GB2312" w:cs="仿宋_GB2312" w:eastAsia="仿宋_GB2312"/>
                <w:sz w:val="21"/>
              </w:rPr>
              <w:t>（1）《水闸安全监测技术规范》（SL768-2018）;</w:t>
            </w:r>
          </w:p>
          <w:p>
            <w:pPr>
              <w:pStyle w:val="null3"/>
              <w:ind w:firstLine="554"/>
              <w:jc w:val="both"/>
            </w:pPr>
            <w:r>
              <w:rPr>
                <w:rFonts w:ascii="仿宋_GB2312" w:hAnsi="仿宋_GB2312" w:cs="仿宋_GB2312" w:eastAsia="仿宋_GB2312"/>
                <w:sz w:val="21"/>
              </w:rPr>
              <w:t>（2）《水利水电工程安全监测设计规范》（SL725-2016）;</w:t>
            </w:r>
          </w:p>
          <w:p>
            <w:pPr>
              <w:pStyle w:val="null3"/>
              <w:ind w:firstLine="554"/>
              <w:jc w:val="both"/>
            </w:pPr>
            <w:r>
              <w:rPr>
                <w:rFonts w:ascii="仿宋_GB2312" w:hAnsi="仿宋_GB2312" w:cs="仿宋_GB2312" w:eastAsia="仿宋_GB2312"/>
                <w:sz w:val="21"/>
              </w:rPr>
              <w:t>（3）《水闸设计规范》（SL265-2016）；</w:t>
            </w:r>
          </w:p>
          <w:p>
            <w:pPr>
              <w:pStyle w:val="null3"/>
              <w:ind w:firstLine="554"/>
              <w:jc w:val="both"/>
            </w:pPr>
            <w:r>
              <w:rPr>
                <w:rFonts w:ascii="仿宋_GB2312" w:hAnsi="仿宋_GB2312" w:cs="仿宋_GB2312" w:eastAsia="仿宋_GB2312"/>
                <w:sz w:val="21"/>
              </w:rPr>
              <w:t>（4）《水利工程建设标准强制性条文》（2020年版）；</w:t>
            </w:r>
          </w:p>
          <w:p>
            <w:pPr>
              <w:pStyle w:val="null3"/>
              <w:ind w:firstLine="554"/>
              <w:jc w:val="both"/>
            </w:pPr>
            <w:r>
              <w:rPr>
                <w:rFonts w:ascii="仿宋_GB2312" w:hAnsi="仿宋_GB2312" w:cs="仿宋_GB2312" w:eastAsia="仿宋_GB2312"/>
                <w:sz w:val="21"/>
              </w:rPr>
              <w:t>（5）《水利水电工程合理使用年限及耐久性设计规范》（SL654-2014）；</w:t>
            </w:r>
          </w:p>
          <w:p>
            <w:pPr>
              <w:pStyle w:val="null3"/>
              <w:ind w:firstLine="554"/>
              <w:jc w:val="both"/>
            </w:pPr>
            <w:r>
              <w:rPr>
                <w:rFonts w:ascii="仿宋_GB2312" w:hAnsi="仿宋_GB2312" w:cs="仿宋_GB2312" w:eastAsia="仿宋_GB2312"/>
                <w:sz w:val="21"/>
              </w:rPr>
              <w:t>（6）《水利水电工程等级划分及洪水标准》（SL252-2017）；</w:t>
            </w:r>
          </w:p>
          <w:p>
            <w:pPr>
              <w:pStyle w:val="null3"/>
              <w:ind w:firstLine="554"/>
              <w:jc w:val="both"/>
            </w:pPr>
            <w:r>
              <w:rPr>
                <w:rFonts w:ascii="仿宋_GB2312" w:hAnsi="仿宋_GB2312" w:cs="仿宋_GB2312" w:eastAsia="仿宋_GB2312"/>
                <w:sz w:val="21"/>
              </w:rPr>
              <w:t>（7）《水工建筑物抗震设计标准》（GB51247-2018）；</w:t>
            </w:r>
          </w:p>
          <w:p>
            <w:pPr>
              <w:pStyle w:val="null3"/>
              <w:ind w:firstLine="554"/>
              <w:jc w:val="both"/>
            </w:pPr>
            <w:r>
              <w:rPr>
                <w:rFonts w:ascii="仿宋_GB2312" w:hAnsi="仿宋_GB2312" w:cs="仿宋_GB2312" w:eastAsia="仿宋_GB2312"/>
                <w:sz w:val="21"/>
              </w:rPr>
              <w:t>（8）《水工混凝土结构设计规范》（SL191-2008）；</w:t>
            </w:r>
          </w:p>
          <w:p>
            <w:pPr>
              <w:pStyle w:val="null3"/>
              <w:ind w:firstLine="554"/>
              <w:jc w:val="both"/>
            </w:pPr>
            <w:r>
              <w:rPr>
                <w:rFonts w:ascii="仿宋_GB2312" w:hAnsi="仿宋_GB2312" w:cs="仿宋_GB2312" w:eastAsia="仿宋_GB2312"/>
                <w:sz w:val="21"/>
              </w:rPr>
              <w:t>（9）《水工钢闸门和启闭机安全运行规程》（SL/T722-2020）；</w:t>
            </w:r>
          </w:p>
          <w:p>
            <w:pPr>
              <w:pStyle w:val="null3"/>
              <w:ind w:firstLine="554"/>
              <w:jc w:val="both"/>
            </w:pPr>
            <w:r>
              <w:rPr>
                <w:rFonts w:ascii="仿宋_GB2312" w:hAnsi="仿宋_GB2312" w:cs="仿宋_GB2312" w:eastAsia="仿宋_GB2312"/>
                <w:sz w:val="21"/>
              </w:rPr>
              <w:t>（10）《水工钢闸门和启闭机安全检测技术规程》（SL101-2014）；</w:t>
            </w:r>
          </w:p>
          <w:p>
            <w:pPr>
              <w:pStyle w:val="null3"/>
              <w:ind w:firstLine="554"/>
              <w:jc w:val="both"/>
            </w:pPr>
            <w:r>
              <w:rPr>
                <w:rFonts w:ascii="仿宋_GB2312" w:hAnsi="仿宋_GB2312" w:cs="仿宋_GB2312" w:eastAsia="仿宋_GB2312"/>
                <w:sz w:val="21"/>
              </w:rPr>
              <w:t>（11）《水利水电工程金属结构制作与安装安全技术规程》SL/T780-2020；</w:t>
            </w:r>
          </w:p>
          <w:p>
            <w:pPr>
              <w:pStyle w:val="null3"/>
              <w:ind w:firstLine="554"/>
              <w:jc w:val="both"/>
            </w:pPr>
            <w:r>
              <w:rPr>
                <w:rFonts w:ascii="仿宋_GB2312" w:hAnsi="仿宋_GB2312" w:cs="仿宋_GB2312" w:eastAsia="仿宋_GB2312"/>
                <w:sz w:val="21"/>
              </w:rPr>
              <w:t>（12）《水利水电工程钢闸门设计规范》SL74-2019；</w:t>
            </w:r>
          </w:p>
          <w:p>
            <w:pPr>
              <w:pStyle w:val="null3"/>
              <w:ind w:firstLine="554"/>
              <w:jc w:val="both"/>
            </w:pPr>
            <w:r>
              <w:rPr>
                <w:rFonts w:ascii="仿宋_GB2312" w:hAnsi="仿宋_GB2312" w:cs="仿宋_GB2312" w:eastAsia="仿宋_GB2312"/>
                <w:sz w:val="21"/>
              </w:rPr>
              <w:t>（13）《水利水电工程启闭机设计规范》SL41-2018；</w:t>
            </w:r>
          </w:p>
          <w:p>
            <w:pPr>
              <w:pStyle w:val="null3"/>
              <w:ind w:firstLine="554"/>
              <w:jc w:val="both"/>
            </w:pPr>
            <w:r>
              <w:rPr>
                <w:rFonts w:ascii="仿宋_GB2312" w:hAnsi="仿宋_GB2312" w:cs="仿宋_GB2312" w:eastAsia="仿宋_GB2312"/>
                <w:sz w:val="21"/>
              </w:rPr>
              <w:t>（14）大中型水闸工程标准化管理评价标准；</w:t>
            </w:r>
          </w:p>
          <w:p>
            <w:pPr>
              <w:pStyle w:val="null3"/>
              <w:ind w:firstLine="554"/>
              <w:jc w:val="both"/>
            </w:pPr>
            <w:r>
              <w:rPr>
                <w:rFonts w:ascii="仿宋_GB2312" w:hAnsi="仿宋_GB2312" w:cs="仿宋_GB2312" w:eastAsia="仿宋_GB2312"/>
                <w:sz w:val="21"/>
              </w:rPr>
              <w:t>（15）《水利工程建设标准强制性条文》（2016年版）；</w:t>
            </w:r>
          </w:p>
          <w:p>
            <w:pPr>
              <w:pStyle w:val="null3"/>
              <w:ind w:firstLine="554"/>
              <w:jc w:val="both"/>
            </w:pPr>
            <w:r>
              <w:rPr>
                <w:rFonts w:ascii="仿宋_GB2312" w:hAnsi="仿宋_GB2312" w:cs="仿宋_GB2312" w:eastAsia="仿宋_GB2312"/>
                <w:sz w:val="21"/>
              </w:rPr>
              <w:t>（16）《水利水电工程安全监测设计规范》（SL725-2016）；</w:t>
            </w:r>
          </w:p>
          <w:p>
            <w:pPr>
              <w:pStyle w:val="null3"/>
              <w:ind w:firstLine="554"/>
              <w:jc w:val="both"/>
            </w:pPr>
            <w:r>
              <w:rPr>
                <w:rFonts w:ascii="仿宋_GB2312" w:hAnsi="仿宋_GB2312" w:cs="仿宋_GB2312" w:eastAsia="仿宋_GB2312"/>
                <w:sz w:val="21"/>
              </w:rPr>
              <w:t>（17）《大坝安全监测仪器安装标准》（SL531-2012）；</w:t>
            </w:r>
          </w:p>
          <w:p>
            <w:pPr>
              <w:pStyle w:val="null3"/>
              <w:ind w:firstLine="554"/>
              <w:jc w:val="both"/>
            </w:pPr>
            <w:r>
              <w:rPr>
                <w:rFonts w:ascii="仿宋_GB2312" w:hAnsi="仿宋_GB2312" w:cs="仿宋_GB2312" w:eastAsia="仿宋_GB2312"/>
                <w:sz w:val="21"/>
              </w:rPr>
              <w:t>（18）《大坝安全监测仪器检验测试规程》（SL530-2012）；</w:t>
            </w:r>
          </w:p>
          <w:p>
            <w:pPr>
              <w:pStyle w:val="null3"/>
              <w:ind w:firstLine="554"/>
              <w:jc w:val="both"/>
            </w:pPr>
            <w:r>
              <w:rPr>
                <w:rFonts w:ascii="仿宋_GB2312" w:hAnsi="仿宋_GB2312" w:cs="仿宋_GB2312" w:eastAsia="仿宋_GB2312"/>
                <w:sz w:val="21"/>
              </w:rPr>
              <w:t>（19）《大坝安全监测自动化技术规范》（DL/T5211-2019）；</w:t>
            </w:r>
          </w:p>
          <w:p>
            <w:pPr>
              <w:pStyle w:val="null3"/>
              <w:ind w:firstLine="554"/>
              <w:jc w:val="both"/>
            </w:pPr>
            <w:r>
              <w:rPr>
                <w:rFonts w:ascii="仿宋_GB2312" w:hAnsi="仿宋_GB2312" w:cs="仿宋_GB2312" w:eastAsia="仿宋_GB2312"/>
                <w:sz w:val="21"/>
              </w:rPr>
              <w:t>（20）《混凝土坝安全监测资料整编规程》（DL/T5209-2020）；</w:t>
            </w:r>
          </w:p>
          <w:p>
            <w:pPr>
              <w:pStyle w:val="null3"/>
              <w:ind w:firstLine="554"/>
              <w:jc w:val="both"/>
            </w:pPr>
            <w:r>
              <w:rPr>
                <w:rFonts w:ascii="仿宋_GB2312" w:hAnsi="仿宋_GB2312" w:cs="仿宋_GB2312" w:eastAsia="仿宋_GB2312"/>
                <w:sz w:val="21"/>
              </w:rPr>
              <w:t>（21）《水利水电工程测量规范》（SL197-2013）；</w:t>
            </w:r>
          </w:p>
          <w:p>
            <w:pPr>
              <w:pStyle w:val="null3"/>
              <w:ind w:firstLine="554"/>
              <w:jc w:val="both"/>
            </w:pPr>
            <w:r>
              <w:rPr>
                <w:rFonts w:ascii="仿宋_GB2312" w:hAnsi="仿宋_GB2312" w:cs="仿宋_GB2312" w:eastAsia="仿宋_GB2312"/>
                <w:sz w:val="21"/>
              </w:rPr>
              <w:t>（22）《水电工程全球导航卫星系统（GNSS）测量规范》（NB/T 35116-2018）。</w:t>
            </w:r>
          </w:p>
          <w:p>
            <w:pPr>
              <w:pStyle w:val="null3"/>
              <w:ind w:firstLine="554"/>
              <w:jc w:val="both"/>
            </w:pPr>
            <w:r>
              <w:rPr>
                <w:rFonts w:ascii="仿宋_GB2312" w:hAnsi="仿宋_GB2312" w:cs="仿宋_GB2312" w:eastAsia="仿宋_GB2312"/>
                <w:sz w:val="21"/>
              </w:rPr>
              <w:t>（23）其它相关文件、规程、规范及技术标准。</w:t>
            </w:r>
          </w:p>
          <w:p>
            <w:pPr>
              <w:pStyle w:val="null3"/>
              <w:ind w:firstLine="554"/>
              <w:jc w:val="both"/>
            </w:pPr>
            <w:r>
              <w:rPr>
                <w:rFonts w:ascii="仿宋_GB2312" w:hAnsi="仿宋_GB2312" w:cs="仿宋_GB2312" w:eastAsia="仿宋_GB2312"/>
                <w:sz w:val="21"/>
              </w:rPr>
              <w:t>三、主要成果递交</w:t>
            </w:r>
          </w:p>
          <w:p>
            <w:pPr>
              <w:pStyle w:val="null3"/>
              <w:ind w:firstLine="554"/>
              <w:jc w:val="both"/>
            </w:pPr>
            <w:r>
              <w:rPr>
                <w:rFonts w:ascii="仿宋_GB2312" w:hAnsi="仿宋_GB2312" w:cs="仿宋_GB2312" w:eastAsia="仿宋_GB2312"/>
                <w:sz w:val="21"/>
              </w:rPr>
              <w:t>编制完成《陕西省“十五五”大中型水闸安全监测实施方案》。</w:t>
            </w:r>
          </w:p>
          <w:p>
            <w:pPr>
              <w:pStyle w:val="null3"/>
              <w:ind w:firstLine="554"/>
              <w:jc w:val="both"/>
            </w:pPr>
            <w:r>
              <w:rPr>
                <w:rFonts w:ascii="仿宋_GB2312" w:hAnsi="仿宋_GB2312" w:cs="仿宋_GB2312" w:eastAsia="仿宋_GB2312"/>
              </w:rPr>
              <w:t xml:space="preserve"> </w:t>
            </w:r>
          </w:p>
          <w:p>
            <w:pPr>
              <w:pStyle w:val="null3"/>
            </w:pPr>
            <w:r>
              <w:rPr>
                <w:rFonts w:ascii="仿宋_GB2312" w:hAnsi="仿宋_GB2312" w:cs="仿宋_GB2312" w:eastAsia="仿宋_GB2312"/>
                <w:sz w:val="18"/>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满足本项目需求。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合同签订后60日历天。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陕西省水利厅。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成果递交后，成交人向采购人提交验收申请。2）采购人收到验收申请后组织验收，验收时成交人应无条件予以配合并提供验收所需的全部资料，若成交人不配合或者未按合同要求提供服务的，采购人将拒绝验收。3）验收依据：磋商文件、响应文件、合同文本、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合同签订后首次</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提交成果后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50.00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通过验收后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照《中华人民共和国民法典》中的相关条款执行。2）供应商未按合同要求提供货物与服务或货物与服务质量不能满足技术要求，且在规定时间内未达到合同约定的，采购人有权终止合同，对采购人造成经济等损失的，采购人有权进行追责。</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陕西省“十五五”大中型水闸安全监测实施方案服务期限以合同为准。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提供近一年度经审计的财务会计报告（含附表附注），或开标前三个月内基本开户银行出具的资信证明，或信用担保机构出具的投标担保函（以上三种形式的资料提供任何一种即可)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供应商应提交的相关资格证明材料.pdf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营业执照或事业单位法人证书</w:t>
            </w:r>
          </w:p>
        </w:tc>
        <w:tc>
          <w:tcPr>
            <w:tcW w:type="dxa" w:w="3322"/>
          </w:tcPr>
          <w:p>
            <w:pPr>
              <w:pStyle w:val="null3"/>
            </w:pPr>
            <w:r>
              <w:rPr>
                <w:rFonts w:ascii="仿宋_GB2312" w:hAnsi="仿宋_GB2312" w:cs="仿宋_GB2312" w:eastAsia="仿宋_GB2312"/>
              </w:rPr>
              <w:t>供应商为合法注册的法人、其他组织，具有独立承担民事责任的能力，提供营业执照或事业单位法人证书复印件，供应商为自然人的提供身份证复印件。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提供递交响应文件截止之日前一年内任意一个月的依法缴纳税收的相关凭据（时间以税款所属日期为准）复印件。依法免税或无须缴纳税收的供应商，应提供相应证明文件复印件。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提供递交响应文件截止之日前一年内任意一个月的社会保障资金缴存单据或社保机构开具的社会保险参保缴费情况证明复印件。依法不需要缴纳社会保障资金的的供应商应提供相应证明文件复印件。</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提供具有履行本合同所必需的设备和专业技术能力的承诺并加盖公章。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参加政府采购活动前三年内，在经营活动中没有重大违法记录书面声明并加盖公章。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信用中国和中国政府采购网查询截图</w:t>
            </w:r>
          </w:p>
        </w:tc>
        <w:tc>
          <w:tcPr>
            <w:tcW w:type="dxa" w:w="3322"/>
          </w:tcPr>
          <w:p>
            <w:pPr>
              <w:pStyle w:val="null3"/>
            </w:pPr>
            <w:r>
              <w:rPr>
                <w:rFonts w:ascii="仿宋_GB2312" w:hAnsi="仿宋_GB2312" w:cs="仿宋_GB2312" w:eastAsia="仿宋_GB2312"/>
              </w:rPr>
              <w:t>供应商不得为“信用中国”网站中重大税收违法案件当事人名单和“中国执行信息公开网”中列入失信被执行人名单，不得为中国政府采购网（www.ccgp.gov.cn）政府采购严重违法失信行为记录名单中被财政部门禁止参加政府采购活动的供应商，附网站截图并加盖公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应符合“第七章 响应文件格式”的要求</w:t>
            </w:r>
          </w:p>
        </w:tc>
        <w:tc>
          <w:tcPr>
            <w:tcW w:type="dxa" w:w="1661"/>
          </w:tcPr>
          <w:p>
            <w:pPr>
              <w:pStyle w:val="null3"/>
            </w:pPr>
            <w:r>
              <w:rPr>
                <w:rFonts w:ascii="仿宋_GB2312" w:hAnsi="仿宋_GB2312" w:cs="仿宋_GB2312" w:eastAsia="仿宋_GB2312"/>
              </w:rPr>
              <w:t>承揽的类似项目情况表.pdf 供应商认为有必要说明的事宜.pdf 服务内容及服务邀请应答表 人员配备.pdf 服务方案.pdf 中小企业声明函 商务应答表 报价表 响应文件封面 残疾人福利性单位声明函 授权委托书.pdf 供应商应提交的相关资格证明材料.pdf 标的清单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服务内容及服务邀请应答表 人员配备.pdf 商务应答表 授权委托书.pdf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唯一报价并未超出采购预算</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磋商响应文件内容</w:t>
            </w:r>
          </w:p>
        </w:tc>
        <w:tc>
          <w:tcPr>
            <w:tcW w:type="dxa" w:w="3322"/>
          </w:tcPr>
          <w:p>
            <w:pPr>
              <w:pStyle w:val="null3"/>
            </w:pPr>
            <w:r>
              <w:rPr>
                <w:rFonts w:ascii="仿宋_GB2312" w:hAnsi="仿宋_GB2312" w:cs="仿宋_GB2312" w:eastAsia="仿宋_GB2312"/>
              </w:rPr>
              <w:t>磋商响应文件内容符合“第三章 磋商项目技术、 服务、商务及其他要求”的内容</w:t>
            </w:r>
          </w:p>
        </w:tc>
        <w:tc>
          <w:tcPr>
            <w:tcW w:type="dxa" w:w="1661"/>
          </w:tcPr>
          <w:p>
            <w:pPr>
              <w:pStyle w:val="null3"/>
            </w:pPr>
            <w:r>
              <w:rPr>
                <w:rFonts w:ascii="仿宋_GB2312" w:hAnsi="仿宋_GB2312" w:cs="仿宋_GB2312" w:eastAsia="仿宋_GB2312"/>
              </w:rPr>
              <w:t>服务内容及服务邀请应答表 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应满足磋商文件中的规定</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采购要求（包括但不限于实施计划和技术方案的清晰性、针对性和所需收集资料及文件的准确性等）进行打分：供应商的实施计划合理、技术方案完善、实施性强，条理清晰、具有针对性且报告编制所需收集资料及文件的准确性。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工作计划方案</w:t>
            </w:r>
          </w:p>
        </w:tc>
        <w:tc>
          <w:tcPr>
            <w:tcW w:type="dxa" w:w="2492"/>
          </w:tcPr>
          <w:p>
            <w:pPr>
              <w:pStyle w:val="null3"/>
            </w:pPr>
            <w:r>
              <w:rPr>
                <w:rFonts w:ascii="仿宋_GB2312" w:hAnsi="仿宋_GB2312" w:cs="仿宋_GB2312" w:eastAsia="仿宋_GB2312"/>
              </w:rPr>
              <w:t>根据供应商提供的工作计划方案（包括但不限于工作进度、工作计划、工作时效等）进行打分： 供应商提供的工作进度完善、工作计划明确、工作时效高。每项完全满足评审标准得3分，有缺陷或者不满足扣1分，缺项不得分。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重点、 难点分析</w:t>
            </w:r>
          </w:p>
        </w:tc>
        <w:tc>
          <w:tcPr>
            <w:tcW w:type="dxa" w:w="2492"/>
          </w:tcPr>
          <w:p>
            <w:pPr>
              <w:pStyle w:val="null3"/>
            </w:pPr>
            <w:r>
              <w:rPr>
                <w:rFonts w:ascii="仿宋_GB2312" w:hAnsi="仿宋_GB2312" w:cs="仿宋_GB2312" w:eastAsia="仿宋_GB2312"/>
              </w:rPr>
              <w:t>根据供应商提供的重点、难点分析（包括但不限于工作重点理解深刻程度，对工作难点把握准确性、全面性等）进行打分：工作重点理解深刻，对工作难点把握准确、全面。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工作质量保证措施</w:t>
            </w:r>
          </w:p>
        </w:tc>
        <w:tc>
          <w:tcPr>
            <w:tcW w:type="dxa" w:w="2492"/>
          </w:tcPr>
          <w:p>
            <w:pPr>
              <w:pStyle w:val="null3"/>
            </w:pPr>
            <w:r>
              <w:rPr>
                <w:rFonts w:ascii="仿宋_GB2312" w:hAnsi="仿宋_GB2312" w:cs="仿宋_GB2312" w:eastAsia="仿宋_GB2312"/>
              </w:rPr>
              <w:t>根据供应商提供的质量保证措施：质量保证体系健全，质量保证措施具有针对性。每项完全满足评审标准得5分，有缺陷或者不满足扣2.5分，缺项不得分。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服务承诺（包括但不限于全面性、合理性，内容与深度是否达到本项目的要求，后续配合计划的完善度）进行打分：供应商服务承诺全面、合理，内容与深度均达到本项目要求、后续配合计划完善。每项完全满足评审标准得3分，有缺陷或者不满足扣1分，缺项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服务方案.pdf</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1、本项目投入人员须为供应商在职人员并提供证明材料，否则不计分； 2、根据供应商对于本项目的人员配备情况进行打分：人员安排合理，职责分工明确。 每项完全满足评审标准得4分，有缺陷或者不满足扣2分，缺项不得分； 3、项目组成员每具有水利类专业高级工程师得0.5分，最多得1分； 4、项目负责人具有水利类专业高级工程师得1分。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人员配备.pdf</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近年具有类似项目业绩，每具有一项计3分，最高12分。 注：应附合同协议书或中标（成交）通知书或立项文件或成果文件（如论文、课题、专利等）复印件。类似项目业绩指自2022年3月1日至投标截止日前，承揽过水闸类项目。</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承揽的类似项目情况表.pdf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经资格审查、符合性审查合格的响应文件，其磋商报价为有效磋商报价，对符合政策性扣减的供应商的有效磋商价格进行政策性扣减，并依据扣减后的价格（评审价格）进行价格评审。 满足磋商文件要求且磋商报价最低的为评标基准价，其价格分为满分。价格分按照下列公式计算。 报价得分=（评标基准价/有效报价）×价格权重×100 符合磋商文件规定的小微企业或监狱企业或残疾人福利性单位优惠条件的供应商，价格给予10%的扣除，用扣除后的价格参与评审。</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本项目授权磋商小组直接确认成交供应商，确认后代理机构在陕西省政府采购网上发布成交结果公告，同时向成交供应商发出成交通知书。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详见附件：服务方案.pdf</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详见附件：承揽的类似项目情况表.pdf</w:t>
      </w:r>
    </w:p>
    <w:p>
      <w:pPr>
        <w:pStyle w:val="null3"/>
        <w:ind w:firstLine="960"/>
      </w:pPr>
      <w:r>
        <w:rPr>
          <w:rFonts w:ascii="仿宋_GB2312" w:hAnsi="仿宋_GB2312" w:cs="仿宋_GB2312" w:eastAsia="仿宋_GB2312"/>
        </w:rPr>
        <w:t>详见附件：授权委托书.pdf</w:t>
      </w:r>
    </w:p>
    <w:p>
      <w:pPr>
        <w:pStyle w:val="null3"/>
        <w:ind w:firstLine="960"/>
      </w:pPr>
      <w:r>
        <w:rPr>
          <w:rFonts w:ascii="仿宋_GB2312" w:hAnsi="仿宋_GB2312" w:cs="仿宋_GB2312" w:eastAsia="仿宋_GB2312"/>
        </w:rPr>
        <w:t>详见附件：人员配备.pdf</w:t>
      </w:r>
    </w:p>
    <w:p>
      <w:pPr>
        <w:pStyle w:val="null3"/>
        <w:ind w:firstLine="960"/>
      </w:pPr>
      <w:r>
        <w:rPr>
          <w:rFonts w:ascii="仿宋_GB2312" w:hAnsi="仿宋_GB2312" w:cs="仿宋_GB2312" w:eastAsia="仿宋_GB2312"/>
        </w:rPr>
        <w:t>详见附件：供应商认为有必要说明的事宜.pdf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详见附件：合同协议书.docx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