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205D51A0">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甲方（采购人）： </w:t>
      </w:r>
    </w:p>
    <w:p w14:paraId="503D9CBB">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乙方（成交供应商）： </w:t>
      </w:r>
    </w:p>
    <w:p w14:paraId="2E8710A3">
      <w:pPr>
        <w:keepNext w:val="0"/>
        <w:keepLines w:val="0"/>
        <w:pageBreakBefore w:val="0"/>
        <w:widowControl/>
        <w:kinsoku w:val="0"/>
        <w:wordWrap w:val="0"/>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lang w:val="en-US" w:eastAsia="zh-CN"/>
        </w:rPr>
        <w:t xml:space="preserve">港澳台交流活动项目 </w:t>
      </w:r>
      <w:r>
        <w:rPr>
          <w:rFonts w:hint="eastAsia" w:ascii="仿宋_GB2312" w:hAnsi="仿宋_GB2312" w:eastAsia="仿宋_GB2312" w:cs="仿宋_GB2312"/>
          <w:bCs/>
          <w:sz w:val="28"/>
          <w:szCs w:val="28"/>
          <w:u w:val="single"/>
        </w:rPr>
        <w:t>(项目编号：</w:t>
      </w:r>
      <w:r>
        <w:rPr>
          <w:rFonts w:hint="eastAsia" w:ascii="仿宋_GB2312" w:hAnsi="仿宋_GB2312" w:eastAsia="仿宋_GB2312" w:cs="仿宋_GB2312"/>
          <w:bCs/>
          <w:sz w:val="28"/>
          <w:szCs w:val="28"/>
          <w:u w:val="single"/>
          <w:lang w:eastAsia="zh-CN"/>
        </w:rPr>
        <w:t>SXHC2026-0</w:t>
      </w:r>
      <w:r>
        <w:rPr>
          <w:rFonts w:hint="eastAsia" w:ascii="仿宋_GB2312" w:hAnsi="仿宋_GB2312" w:eastAsia="仿宋_GB2312" w:cs="仿宋_GB2312"/>
          <w:bCs/>
          <w:sz w:val="28"/>
          <w:szCs w:val="28"/>
          <w:u w:val="single"/>
          <w:lang w:val="en-US" w:eastAsia="zh-CN"/>
        </w:rPr>
        <w:t>37</w:t>
      </w:r>
      <w:r>
        <w:rPr>
          <w:rFonts w:hint="eastAsia" w:ascii="仿宋_GB2312" w:hAnsi="仿宋_GB2312" w:eastAsia="仿宋_GB2312" w:cs="仿宋_GB2312"/>
          <w:bCs/>
          <w:sz w:val="28"/>
          <w:szCs w:val="28"/>
          <w:u w:val="single"/>
        </w:rPr>
        <w:t>)</w:t>
      </w:r>
      <w:r>
        <w:rPr>
          <w:rFonts w:hint="eastAsia" w:ascii="仿宋_GB2312" w:hAnsi="仿宋_GB2312" w:eastAsia="仿宋_GB2312" w:cs="仿宋_GB2312"/>
          <w:bCs/>
          <w:sz w:val="28"/>
          <w:szCs w:val="28"/>
        </w:rPr>
        <w:t>，由陕西华采招标有限公司组织</w:t>
      </w:r>
      <w:r>
        <w:rPr>
          <w:rFonts w:hint="eastAsia" w:ascii="仿宋_GB2312" w:hAnsi="仿宋_GB2312" w:eastAsia="仿宋_GB2312" w:cs="仿宋_GB2312"/>
          <w:bCs/>
          <w:sz w:val="28"/>
          <w:szCs w:val="28"/>
          <w:lang w:val="en-US" w:eastAsia="zh-CN"/>
        </w:rPr>
        <w:t>单一来源采购</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(以下简称“甲方”)确定</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（以下简称“乙方”）为该项目的成</w:t>
      </w:r>
      <w:bookmarkStart w:id="0" w:name="_GoBack"/>
      <w:bookmarkEnd w:id="0"/>
      <w:r>
        <w:rPr>
          <w:rFonts w:hint="eastAsia" w:ascii="仿宋_GB2312" w:hAnsi="仿宋_GB2312" w:eastAsia="仿宋_GB2312" w:cs="仿宋_GB2312"/>
          <w:bCs/>
          <w:sz w:val="28"/>
          <w:szCs w:val="28"/>
        </w:rPr>
        <w:t>交供应商。</w:t>
      </w:r>
    </w:p>
    <w:p w14:paraId="40DC90BD">
      <w:pPr>
        <w:keepNext w:val="0"/>
        <w:keepLines w:val="0"/>
        <w:pageBreakBefore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依据《中华人民共和国</w:t>
      </w:r>
      <w:r>
        <w:rPr>
          <w:rFonts w:hint="eastAsia" w:ascii="仿宋_GB2312" w:hAnsi="仿宋_GB2312" w:eastAsia="仿宋_GB2312" w:cs="仿宋_GB2312"/>
          <w:bCs/>
          <w:sz w:val="28"/>
          <w:szCs w:val="28"/>
          <w:lang w:val="en-US" w:eastAsia="zh-CN"/>
        </w:rPr>
        <w:t>民法典</w:t>
      </w:r>
      <w:r>
        <w:rPr>
          <w:rFonts w:hint="eastAsia" w:ascii="仿宋_GB2312" w:hAnsi="仿宋_GB2312" w:eastAsia="仿宋_GB2312" w:cs="仿宋_GB2312"/>
          <w:bCs/>
          <w:sz w:val="28"/>
          <w:szCs w:val="28"/>
        </w:rPr>
        <w:t>》和《中华人民共和国政府采购法》之规定，经双方在平等、自愿、互利的基础上，签订本合同，共同信守。</w:t>
      </w:r>
    </w:p>
    <w:p w14:paraId="05C2D065">
      <w:pPr>
        <w:autoSpaceDE w:val="0"/>
        <w:autoSpaceDN w:val="0"/>
        <w:adjustRightInd w:val="0"/>
        <w:snapToGrid w:val="0"/>
        <w:spacing w:line="360" w:lineRule="auto"/>
        <w:ind w:firstLine="562" w:firstLineChars="200"/>
        <w:rPr>
          <w:rFonts w:hint="default" w:ascii="仿宋_GB2312" w:hAnsi="仿宋" w:eastAsia="仿宋_GB2312"/>
          <w:b/>
          <w:sz w:val="28"/>
          <w:szCs w:val="28"/>
          <w:u w:val="single"/>
          <w:lang w:val="en-US" w:eastAsia="zh-CN"/>
        </w:rPr>
      </w:pPr>
      <w:r>
        <w:rPr>
          <w:rFonts w:hint="eastAsia" w:ascii="仿宋_GB2312" w:hAnsi="仿宋" w:eastAsia="仿宋_GB2312"/>
          <w:b/>
          <w:sz w:val="28"/>
          <w:szCs w:val="28"/>
          <w:lang w:val="en-US" w:eastAsia="zh-CN"/>
        </w:rPr>
        <w:t>一</w:t>
      </w:r>
      <w:r>
        <w:rPr>
          <w:rFonts w:hint="eastAsia" w:ascii="仿宋_GB2312" w:hAnsi="仿宋" w:eastAsia="仿宋_GB2312"/>
          <w:b/>
          <w:sz w:val="28"/>
          <w:szCs w:val="28"/>
        </w:rPr>
        <w:t>、委托工作内容</w:t>
      </w:r>
      <w:r>
        <w:rPr>
          <w:rFonts w:hint="eastAsia" w:ascii="仿宋_GB2312" w:hAnsi="仿宋" w:eastAsia="仿宋_GB2312"/>
          <w:b/>
          <w:sz w:val="28"/>
          <w:szCs w:val="28"/>
          <w:lang w:eastAsia="zh-CN"/>
        </w:rPr>
        <w:t>：</w:t>
      </w:r>
      <w:r>
        <w:rPr>
          <w:rFonts w:hint="eastAsia" w:ascii="仿宋_GB2312" w:hAnsi="仿宋" w:eastAsia="仿宋_GB2312"/>
          <w:b/>
          <w:bCs/>
          <w:color w:val="auto"/>
          <w:sz w:val="28"/>
          <w:szCs w:val="28"/>
          <w:u w:val="single"/>
          <w:lang w:val="en-US" w:eastAsia="zh-CN"/>
        </w:rPr>
        <w:t xml:space="preserve">                                 </w:t>
      </w:r>
      <w:r>
        <w:rPr>
          <w:rFonts w:hint="eastAsia" w:ascii="仿宋_GB2312" w:hAnsi="仿宋" w:eastAsia="仿宋_GB2312"/>
          <w:b/>
          <w:bCs/>
          <w:color w:val="auto"/>
          <w:sz w:val="28"/>
          <w:szCs w:val="28"/>
          <w:u w:val="none"/>
          <w:lang w:val="en-US" w:eastAsia="zh-CN"/>
        </w:rPr>
        <w:t>。</w:t>
      </w:r>
    </w:p>
    <w:p w14:paraId="4F3BF976">
      <w:pPr>
        <w:keepNext w:val="0"/>
        <w:keepLines w:val="0"/>
        <w:pageBreakBefore w:val="0"/>
        <w:widowControl w:val="0"/>
        <w:kinsoku/>
        <w:wordWrap/>
        <w:overflowPunct/>
        <w:topLinePunct w:val="0"/>
        <w:bidi w:val="0"/>
        <w:adjustRightInd w:val="0"/>
        <w:snapToGrid w:val="0"/>
        <w:spacing w:line="360" w:lineRule="auto"/>
        <w:ind w:firstLine="562" w:firstLineChars="200"/>
        <w:textAlignment w:val="auto"/>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lang w:val="en-US" w:eastAsia="zh-CN"/>
        </w:rPr>
        <w:t>二</w:t>
      </w:r>
      <w:r>
        <w:rPr>
          <w:rFonts w:hint="eastAsia" w:ascii="仿宋_GB2312" w:hAnsi="仿宋_GB2312" w:eastAsia="仿宋_GB2312" w:cs="仿宋_GB2312"/>
          <w:b/>
          <w:sz w:val="28"/>
          <w:szCs w:val="28"/>
          <w:highlight w:val="none"/>
        </w:rPr>
        <w:t>、合同价款</w:t>
      </w:r>
    </w:p>
    <w:p w14:paraId="614E9C22">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rPr>
        <w:t>（一）合同总价款为人民币（大写）</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w:t>
      </w:r>
      <w:r>
        <w:rPr>
          <w:rFonts w:hint="eastAsia" w:ascii="微软雅黑" w:hAnsi="微软雅黑" w:eastAsia="微软雅黑" w:cs="微软雅黑"/>
          <w:sz w:val="28"/>
          <w:szCs w:val="28"/>
          <w:highlight w:val="none"/>
          <w:lang w:val="en-US" w:eastAsia="zh-CN"/>
        </w:rPr>
        <w:t>￥</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其中：</w:t>
      </w:r>
    </w:p>
    <w:p w14:paraId="471784B0">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val="en-US" w:eastAsia="zh-CN"/>
        </w:rPr>
        <w:t>1、</w:t>
      </w:r>
      <w:r>
        <w:rPr>
          <w:rFonts w:hint="eastAsia" w:ascii="仿宋_GB2312" w:hAnsi="仿宋" w:eastAsia="仿宋_GB2312"/>
          <w:b w:val="0"/>
          <w:bCs w:val="0"/>
          <w:color w:val="auto"/>
          <w:sz w:val="28"/>
          <w:szCs w:val="28"/>
          <w:vertAlign w:val="baseline"/>
          <w:lang w:val="en-US" w:eastAsia="zh-CN"/>
        </w:rPr>
        <w:t>“临古开新 共书辉煌—西安碑林海峡两岸临书展（2025-2026）”：</w:t>
      </w:r>
      <w:r>
        <w:rPr>
          <w:rFonts w:hint="eastAsia" w:ascii="仿宋_GB2312" w:hAnsi="仿宋_GB2312" w:eastAsia="仿宋_GB2312" w:cs="仿宋_GB2312"/>
          <w:sz w:val="28"/>
          <w:szCs w:val="28"/>
          <w:highlight w:val="none"/>
        </w:rPr>
        <w:t>人民币（大写）</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w:t>
      </w:r>
      <w:r>
        <w:rPr>
          <w:rFonts w:hint="eastAsia" w:ascii="微软雅黑" w:hAnsi="微软雅黑" w:eastAsia="微软雅黑" w:cs="微软雅黑"/>
          <w:sz w:val="28"/>
          <w:szCs w:val="28"/>
          <w:highlight w:val="none"/>
          <w:lang w:val="en-US" w:eastAsia="zh-CN"/>
        </w:rPr>
        <w:t>￥</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eastAsia="zh-CN"/>
        </w:rPr>
        <w:t>；</w:t>
      </w:r>
    </w:p>
    <w:p w14:paraId="39F2FC41">
      <w:pPr>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w:t>
      </w:r>
      <w:r>
        <w:rPr>
          <w:rFonts w:hint="eastAsia" w:ascii="仿宋_GB2312" w:hAnsi="仿宋" w:eastAsia="仿宋_GB2312"/>
          <w:b w:val="0"/>
          <w:bCs w:val="0"/>
          <w:color w:val="auto"/>
          <w:sz w:val="28"/>
          <w:szCs w:val="28"/>
          <w:vertAlign w:val="baseline"/>
          <w:lang w:val="en-US" w:eastAsia="zh-CN"/>
        </w:rPr>
        <w:t>“大秦雄风—兵马俑与秦始皇帝陵特展”：</w:t>
      </w:r>
      <w:r>
        <w:rPr>
          <w:rFonts w:hint="eastAsia" w:ascii="仿宋_GB2312" w:hAnsi="仿宋_GB2312" w:eastAsia="仿宋_GB2312" w:cs="仿宋_GB2312"/>
          <w:sz w:val="28"/>
          <w:szCs w:val="28"/>
          <w:highlight w:val="none"/>
        </w:rPr>
        <w:t>人民币（大写）</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w:t>
      </w:r>
      <w:r>
        <w:rPr>
          <w:rFonts w:hint="eastAsia" w:ascii="微软雅黑" w:hAnsi="微软雅黑" w:eastAsia="微软雅黑" w:cs="微软雅黑"/>
          <w:sz w:val="28"/>
          <w:szCs w:val="28"/>
          <w:highlight w:val="none"/>
          <w:lang w:val="en-US" w:eastAsia="zh-CN"/>
        </w:rPr>
        <w:t>￥</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eastAsia="zh-CN"/>
        </w:rPr>
        <w:t>。</w:t>
      </w:r>
    </w:p>
    <w:p w14:paraId="3CECA2A6">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rPr>
        <w:t>（二）</w:t>
      </w:r>
      <w:r>
        <w:rPr>
          <w:rFonts w:hint="eastAsia" w:ascii="仿宋_GB2312" w:hAnsi="仿宋_GB2312" w:eastAsia="仿宋_GB2312" w:cs="仿宋_GB2312"/>
          <w:bCs/>
          <w:sz w:val="28"/>
          <w:szCs w:val="28"/>
          <w:highlight w:val="none"/>
        </w:rPr>
        <w:t>合同总价</w:t>
      </w:r>
      <w:r>
        <w:rPr>
          <w:rFonts w:hint="eastAsia" w:ascii="仿宋_GB2312" w:hAnsi="仿宋_GB2312" w:eastAsia="仿宋_GB2312" w:cs="仿宋_GB2312"/>
          <w:bCs/>
          <w:sz w:val="28"/>
          <w:szCs w:val="28"/>
          <w:highlight w:val="none"/>
          <w:lang w:val="en-US" w:eastAsia="zh-CN"/>
        </w:rPr>
        <w:t>包括</w:t>
      </w:r>
      <w:r>
        <w:rPr>
          <w:rFonts w:hint="eastAsia" w:ascii="仿宋_GB2312" w:hAnsi="仿宋_GB2312" w:eastAsia="仿宋_GB2312" w:cs="仿宋_GB2312"/>
          <w:bCs/>
          <w:sz w:val="28"/>
          <w:szCs w:val="28"/>
          <w:highlight w:val="none"/>
        </w:rPr>
        <w:t>但不限于</w:t>
      </w:r>
      <w:r>
        <w:rPr>
          <w:rFonts w:hint="eastAsia" w:ascii="仿宋_GB2312" w:hAnsi="仿宋" w:eastAsia="仿宋_GB2312"/>
          <w:bCs/>
          <w:sz w:val="28"/>
          <w:szCs w:val="28"/>
          <w:highlight w:val="none"/>
          <w:lang w:val="en-US" w:eastAsia="zh-CN"/>
        </w:rPr>
        <w:t>人工费</w:t>
      </w:r>
      <w:r>
        <w:rPr>
          <w:rFonts w:hint="eastAsia" w:ascii="仿宋_GB2312" w:hAnsi="仿宋" w:eastAsia="仿宋_GB2312"/>
          <w:bCs/>
          <w:sz w:val="28"/>
          <w:szCs w:val="28"/>
          <w:highlight w:val="none"/>
          <w:lang w:val="zh-CN"/>
        </w:rPr>
        <w:t>、</w:t>
      </w:r>
      <w:r>
        <w:rPr>
          <w:rFonts w:hint="eastAsia" w:ascii="仿宋_GB2312" w:hAnsi="仿宋" w:eastAsia="仿宋_GB2312"/>
          <w:bCs/>
          <w:sz w:val="28"/>
          <w:szCs w:val="28"/>
          <w:highlight w:val="none"/>
          <w:lang w:val="en-US" w:eastAsia="zh-CN"/>
        </w:rPr>
        <w:t>会场</w:t>
      </w:r>
      <w:r>
        <w:rPr>
          <w:rFonts w:hint="eastAsia" w:ascii="仿宋_GB2312" w:hAnsi="仿宋" w:eastAsia="仿宋_GB2312"/>
          <w:bCs/>
          <w:sz w:val="28"/>
          <w:szCs w:val="28"/>
          <w:highlight w:val="none"/>
          <w:lang w:val="zh-CN"/>
        </w:rPr>
        <w:t>费、</w:t>
      </w:r>
      <w:r>
        <w:rPr>
          <w:rFonts w:hint="eastAsia" w:ascii="仿宋_GB2312" w:hAnsi="仿宋" w:eastAsia="仿宋_GB2312"/>
          <w:bCs/>
          <w:sz w:val="28"/>
          <w:szCs w:val="28"/>
          <w:highlight w:val="none"/>
          <w:lang w:val="en-US" w:eastAsia="zh-CN"/>
        </w:rPr>
        <w:t>材料费、设计费、</w:t>
      </w:r>
      <w:r>
        <w:rPr>
          <w:rFonts w:hint="eastAsia" w:ascii="仿宋_GB2312" w:hAnsi="仿宋" w:eastAsia="仿宋_GB2312"/>
          <w:bCs/>
          <w:sz w:val="28"/>
          <w:szCs w:val="28"/>
          <w:highlight w:val="none"/>
          <w:lang w:val="zh-CN"/>
        </w:rPr>
        <w:t>培训费、管理费、</w:t>
      </w:r>
      <w:r>
        <w:rPr>
          <w:rFonts w:hint="eastAsia" w:ascii="仿宋_GB2312" w:hAnsi="仿宋" w:eastAsia="仿宋_GB2312"/>
          <w:bCs/>
          <w:sz w:val="28"/>
          <w:szCs w:val="28"/>
          <w:highlight w:val="none"/>
        </w:rPr>
        <w:t>不可预见费用、</w:t>
      </w:r>
      <w:r>
        <w:rPr>
          <w:rFonts w:hint="eastAsia" w:ascii="仿宋_GB2312" w:hAnsi="仿宋" w:eastAsia="仿宋_GB2312"/>
          <w:bCs/>
          <w:sz w:val="28"/>
          <w:szCs w:val="28"/>
          <w:highlight w:val="none"/>
          <w:lang w:val="zh-CN"/>
        </w:rPr>
        <w:t>直接费、间接费、利润、税金</w:t>
      </w:r>
      <w:r>
        <w:rPr>
          <w:rFonts w:hint="eastAsia" w:ascii="仿宋_GB2312" w:hAnsi="仿宋_GB2312" w:eastAsia="仿宋_GB2312" w:cs="仿宋_GB2312"/>
          <w:bCs/>
          <w:sz w:val="28"/>
          <w:szCs w:val="28"/>
          <w:highlight w:val="none"/>
        </w:rPr>
        <w:t>等一切相关费用，</w:t>
      </w:r>
      <w:r>
        <w:rPr>
          <w:rFonts w:hint="eastAsia" w:ascii="仿宋_GB2312" w:hAnsi="仿宋_GB2312" w:eastAsia="仿宋_GB2312" w:cs="仿宋_GB2312"/>
          <w:sz w:val="28"/>
          <w:szCs w:val="28"/>
          <w:highlight w:val="none"/>
        </w:rPr>
        <w:t>服务期内甲方不再增加任何费用</w:t>
      </w:r>
      <w:r>
        <w:rPr>
          <w:rFonts w:hint="eastAsia" w:ascii="仿宋_GB2312" w:hAnsi="仿宋_GB2312" w:eastAsia="仿宋_GB2312" w:cs="仿宋_GB2312"/>
          <w:color w:val="auto"/>
          <w:sz w:val="28"/>
          <w:szCs w:val="28"/>
          <w:highlight w:val="none"/>
          <w:lang w:val="en-US" w:eastAsia="zh-CN"/>
        </w:rPr>
        <w:t>。</w:t>
      </w:r>
    </w:p>
    <w:p w14:paraId="23F3C25F">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_GB2312" w:eastAsia="仿宋_GB2312" w:cs="仿宋_GB2312"/>
          <w:sz w:val="28"/>
          <w:szCs w:val="28"/>
          <w:highlight w:val="none"/>
        </w:rPr>
        <w:t>（三）合同总价一次性包死，不受市场价格变化因素的影响</w:t>
      </w:r>
      <w:r>
        <w:rPr>
          <w:rFonts w:hint="eastAsia" w:ascii="仿宋_GB2312" w:hAnsi="仿宋" w:eastAsia="仿宋_GB2312"/>
          <w:bCs/>
          <w:sz w:val="28"/>
          <w:szCs w:val="28"/>
          <w:lang w:val="zh-CN"/>
        </w:rPr>
        <w:t>。</w:t>
      </w:r>
    </w:p>
    <w:p w14:paraId="67A7DF4B">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三、款项结算</w:t>
      </w:r>
    </w:p>
    <w:p w14:paraId="0AF87602">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default" w:ascii="仿宋_GB2312" w:hAnsi="仿宋_GB2312" w:eastAsia="仿宋_GB2312" w:cs="仿宋_GB2312"/>
          <w:sz w:val="28"/>
          <w:szCs w:val="28"/>
          <w:highlight w:val="yellow"/>
          <w:lang w:val="en-US"/>
        </w:rPr>
      </w:pPr>
      <w:r>
        <w:rPr>
          <w:rFonts w:hint="eastAsia" w:ascii="仿宋_GB2312" w:hAnsi="仿宋_GB2312" w:eastAsia="仿宋_GB2312" w:cs="仿宋_GB2312"/>
          <w:bCs/>
          <w:color w:val="auto"/>
          <w:sz w:val="28"/>
          <w:szCs w:val="28"/>
          <w:highlight w:val="none"/>
        </w:rPr>
        <w:t>（一）项款支</w:t>
      </w:r>
      <w:r>
        <w:rPr>
          <w:rFonts w:hint="eastAsia" w:ascii="仿宋_GB2312" w:hAnsi="仿宋_GB2312" w:eastAsia="仿宋_GB2312" w:cs="仿宋_GB2312"/>
          <w:sz w:val="28"/>
          <w:szCs w:val="28"/>
          <w:highlight w:val="none"/>
        </w:rPr>
        <w:t xml:space="preserve">付: </w:t>
      </w:r>
      <w:r>
        <w:rPr>
          <w:rFonts w:hint="eastAsia" w:ascii="仿宋_GB2312" w:hAnsi="仿宋_GB2312" w:eastAsia="仿宋_GB2312" w:cs="仿宋_GB2312"/>
          <w:sz w:val="28"/>
          <w:szCs w:val="28"/>
          <w:highlight w:val="none"/>
          <w:lang w:val="en-US" w:eastAsia="zh-CN"/>
        </w:rPr>
        <w:t>合同签订后5个工作日，支付合同总</w:t>
      </w:r>
      <w:r>
        <w:rPr>
          <w:rFonts w:hint="eastAsia" w:ascii="仿宋_GB2312" w:hAnsi="仿宋_GB2312" w:eastAsia="仿宋_GB2312" w:cs="仿宋_GB2312"/>
          <w:bCs/>
          <w:sz w:val="28"/>
          <w:szCs w:val="28"/>
          <w:highlight w:val="none"/>
        </w:rPr>
        <w:t>价</w:t>
      </w:r>
      <w:r>
        <w:rPr>
          <w:rFonts w:hint="eastAsia" w:ascii="仿宋_GB2312" w:hAnsi="仿宋_GB2312" w:eastAsia="仿宋_GB2312" w:cs="仿宋_GB2312"/>
          <w:sz w:val="28"/>
          <w:szCs w:val="28"/>
          <w:highlight w:val="none"/>
          <w:lang w:val="en-US" w:eastAsia="zh-CN"/>
        </w:rPr>
        <w:t>的60.00%，即</w:t>
      </w:r>
      <w:r>
        <w:rPr>
          <w:rFonts w:hint="eastAsia" w:ascii="仿宋_GB2312" w:hAnsi="仿宋_GB2312" w:eastAsia="仿宋_GB2312" w:cs="仿宋_GB2312"/>
          <w:sz w:val="28"/>
          <w:szCs w:val="28"/>
          <w:highlight w:val="none"/>
          <w:u w:val="single"/>
          <w:lang w:val="en-US" w:eastAsia="zh-CN"/>
        </w:rPr>
        <w:t xml:space="preserve">       元（大写：        ）</w:t>
      </w:r>
      <w:r>
        <w:rPr>
          <w:rFonts w:hint="eastAsia" w:ascii="仿宋_GB2312" w:hAnsi="仿宋_GB2312" w:eastAsia="仿宋_GB2312" w:cs="仿宋_GB2312"/>
          <w:sz w:val="28"/>
          <w:szCs w:val="28"/>
          <w:highlight w:val="none"/>
          <w:u w:val="none"/>
          <w:lang w:val="en-US" w:eastAsia="zh-CN"/>
        </w:rPr>
        <w:t>；完成合同约定的所有工作</w:t>
      </w:r>
      <w:r>
        <w:rPr>
          <w:rFonts w:hint="eastAsia" w:ascii="仿宋_GB2312" w:hAnsi="仿宋_GB2312" w:eastAsia="仿宋_GB2312" w:cs="仿宋_GB2312"/>
          <w:sz w:val="28"/>
          <w:szCs w:val="28"/>
          <w:highlight w:val="none"/>
          <w:lang w:val="en-US" w:eastAsia="zh-CN"/>
        </w:rPr>
        <w:t>5个工作日</w:t>
      </w:r>
      <w:r>
        <w:rPr>
          <w:rFonts w:hint="eastAsia" w:ascii="仿宋_GB2312" w:hAnsi="仿宋_GB2312" w:eastAsia="仿宋_GB2312" w:cs="仿宋_GB2312"/>
          <w:sz w:val="28"/>
          <w:szCs w:val="28"/>
          <w:highlight w:val="none"/>
          <w:u w:val="none"/>
          <w:lang w:val="en-US" w:eastAsia="zh-CN"/>
        </w:rPr>
        <w:t>，</w:t>
      </w:r>
      <w:r>
        <w:rPr>
          <w:rFonts w:hint="eastAsia" w:ascii="仿宋_GB2312" w:hAnsi="仿宋_GB2312" w:eastAsia="仿宋_GB2312" w:cs="仿宋_GB2312"/>
          <w:sz w:val="28"/>
          <w:szCs w:val="28"/>
          <w:highlight w:val="none"/>
          <w:lang w:val="en-US" w:eastAsia="zh-CN"/>
        </w:rPr>
        <w:t>支付合同总</w:t>
      </w:r>
      <w:r>
        <w:rPr>
          <w:rFonts w:hint="eastAsia" w:ascii="仿宋_GB2312" w:hAnsi="仿宋_GB2312" w:eastAsia="仿宋_GB2312" w:cs="仿宋_GB2312"/>
          <w:bCs/>
          <w:sz w:val="28"/>
          <w:szCs w:val="28"/>
          <w:highlight w:val="none"/>
        </w:rPr>
        <w:t>价</w:t>
      </w:r>
      <w:r>
        <w:rPr>
          <w:rFonts w:hint="eastAsia" w:ascii="仿宋_GB2312" w:hAnsi="仿宋_GB2312" w:eastAsia="仿宋_GB2312" w:cs="仿宋_GB2312"/>
          <w:sz w:val="28"/>
          <w:szCs w:val="28"/>
          <w:highlight w:val="none"/>
          <w:lang w:val="en-US" w:eastAsia="zh-CN"/>
        </w:rPr>
        <w:t>的30.00%，即</w:t>
      </w:r>
      <w:r>
        <w:rPr>
          <w:rFonts w:hint="eastAsia" w:ascii="仿宋_GB2312" w:hAnsi="仿宋_GB2312" w:eastAsia="仿宋_GB2312" w:cs="仿宋_GB2312"/>
          <w:sz w:val="28"/>
          <w:szCs w:val="28"/>
          <w:highlight w:val="none"/>
          <w:u w:val="single"/>
          <w:lang w:val="en-US" w:eastAsia="zh-CN"/>
        </w:rPr>
        <w:t xml:space="preserve">       元（大写：        ）</w:t>
      </w:r>
      <w:r>
        <w:rPr>
          <w:rFonts w:hint="eastAsia" w:ascii="仿宋_GB2312" w:hAnsi="仿宋_GB2312" w:eastAsia="仿宋_GB2312" w:cs="仿宋_GB2312"/>
          <w:sz w:val="28"/>
          <w:szCs w:val="28"/>
          <w:highlight w:val="none"/>
          <w:u w:val="none"/>
          <w:lang w:val="en-US" w:eastAsia="zh-CN"/>
        </w:rPr>
        <w:t>；通过项目验收后1个月内，</w:t>
      </w:r>
      <w:r>
        <w:rPr>
          <w:rFonts w:hint="eastAsia" w:ascii="仿宋_GB2312" w:hAnsi="仿宋_GB2312" w:eastAsia="仿宋_GB2312" w:cs="仿宋_GB2312"/>
          <w:sz w:val="28"/>
          <w:szCs w:val="28"/>
          <w:highlight w:val="none"/>
          <w:lang w:val="en-US" w:eastAsia="zh-CN"/>
        </w:rPr>
        <w:t>支付合同总</w:t>
      </w:r>
      <w:r>
        <w:rPr>
          <w:rFonts w:hint="eastAsia" w:ascii="仿宋_GB2312" w:hAnsi="仿宋_GB2312" w:eastAsia="仿宋_GB2312" w:cs="仿宋_GB2312"/>
          <w:bCs/>
          <w:sz w:val="28"/>
          <w:szCs w:val="28"/>
          <w:highlight w:val="none"/>
        </w:rPr>
        <w:t>价</w:t>
      </w:r>
      <w:r>
        <w:rPr>
          <w:rFonts w:hint="eastAsia" w:ascii="仿宋_GB2312" w:hAnsi="仿宋_GB2312" w:eastAsia="仿宋_GB2312" w:cs="仿宋_GB2312"/>
          <w:sz w:val="28"/>
          <w:szCs w:val="28"/>
          <w:highlight w:val="none"/>
          <w:lang w:val="en-US" w:eastAsia="zh-CN"/>
        </w:rPr>
        <w:t>的10.00%，即</w:t>
      </w:r>
      <w:r>
        <w:rPr>
          <w:rFonts w:hint="eastAsia" w:ascii="仿宋_GB2312" w:hAnsi="仿宋_GB2312" w:eastAsia="仿宋_GB2312" w:cs="仿宋_GB2312"/>
          <w:sz w:val="28"/>
          <w:szCs w:val="28"/>
          <w:highlight w:val="none"/>
          <w:u w:val="single"/>
          <w:lang w:val="en-US" w:eastAsia="zh-CN"/>
        </w:rPr>
        <w:t xml:space="preserve">       元（大写：        ）</w:t>
      </w:r>
      <w:r>
        <w:rPr>
          <w:rFonts w:hint="eastAsia" w:ascii="仿宋_GB2312" w:hAnsi="仿宋_GB2312" w:eastAsia="仿宋_GB2312" w:cs="仿宋_GB2312"/>
          <w:sz w:val="28"/>
          <w:szCs w:val="28"/>
          <w:highlight w:val="none"/>
          <w:u w:val="none"/>
          <w:lang w:val="en-US" w:eastAsia="zh-CN"/>
        </w:rPr>
        <w:t>。</w:t>
      </w:r>
    </w:p>
    <w:p w14:paraId="75A322C1">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（二）支付方式：银行转账。</w:t>
      </w:r>
    </w:p>
    <w:p w14:paraId="65CB20DD">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（三）结算方式：乙方在接受付款前，</w:t>
      </w:r>
      <w:r>
        <w:rPr>
          <w:rFonts w:hint="eastAsia" w:ascii="仿宋_GB2312" w:hAnsi="仿宋_GB2312" w:eastAsia="仿宋_GB2312" w:cs="仿宋_GB2312"/>
          <w:sz w:val="28"/>
          <w:szCs w:val="28"/>
          <w:highlight w:val="none"/>
          <w:lang w:val="en-US" w:eastAsia="zh-CN"/>
        </w:rPr>
        <w:t>根据支付方式开具</w:t>
      </w:r>
      <w:r>
        <w:rPr>
          <w:rFonts w:hint="eastAsia" w:ascii="仿宋_GB2312" w:hAnsi="仿宋_GB2312" w:eastAsia="仿宋_GB2312" w:cs="仿宋_GB2312"/>
          <w:sz w:val="28"/>
          <w:szCs w:val="28"/>
          <w:highlight w:val="none"/>
        </w:rPr>
        <w:t>发票给甲方。</w:t>
      </w:r>
    </w:p>
    <w:p w14:paraId="5834E954">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四、服务地点及服务期</w:t>
      </w:r>
    </w:p>
    <w:p w14:paraId="2B026114">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（一）服务地点：</w:t>
      </w:r>
      <w:r>
        <w:rPr>
          <w:rFonts w:hint="eastAsia" w:ascii="仿宋_GB2312" w:hAnsi="仿宋" w:eastAsia="仿宋_GB2312"/>
          <w:bCs/>
          <w:sz w:val="28"/>
          <w:szCs w:val="28"/>
          <w:highlight w:val="none"/>
          <w:lang w:val="en-US" w:eastAsia="zh-CN"/>
        </w:rPr>
        <w:t>采购人指定集中地点、西安地区—台湾地区</w:t>
      </w:r>
      <w:r>
        <w:rPr>
          <w:rFonts w:hint="eastAsia" w:ascii="仿宋_GB2312" w:hAnsi="仿宋" w:eastAsia="仿宋_GB2312"/>
          <w:bCs/>
          <w:sz w:val="28"/>
          <w:szCs w:val="28"/>
          <w:highlight w:val="none"/>
        </w:rPr>
        <w:t>。</w:t>
      </w:r>
    </w:p>
    <w:p w14:paraId="75BFF6F8">
      <w:pPr>
        <w:autoSpaceDE w:val="0"/>
        <w:autoSpaceDN w:val="0"/>
        <w:adjustRightInd w:val="0"/>
        <w:snapToGrid w:val="0"/>
        <w:spacing w:line="360" w:lineRule="auto"/>
        <w:ind w:firstLine="560" w:firstLineChars="200"/>
        <w:rPr>
          <w:rFonts w:hint="eastAsia"/>
          <w:highlight w:val="none"/>
        </w:rPr>
      </w:pPr>
      <w:r>
        <w:rPr>
          <w:rFonts w:hint="eastAsia" w:ascii="仿宋_GB2312" w:hAnsi="仿宋" w:eastAsia="仿宋_GB2312"/>
          <w:bCs/>
          <w:sz w:val="28"/>
          <w:szCs w:val="28"/>
          <w:highlight w:val="none"/>
        </w:rPr>
        <w:t>（二）服务期：</w:t>
      </w:r>
      <w:r>
        <w:rPr>
          <w:rFonts w:hint="eastAsia" w:ascii="仿宋_GB2312" w:hAnsi="仿宋" w:eastAsia="仿宋_GB2312"/>
          <w:bCs/>
          <w:sz w:val="28"/>
          <w:szCs w:val="28"/>
          <w:highlight w:val="none"/>
          <w:lang w:val="en-US" w:eastAsia="zh-CN"/>
        </w:rPr>
        <w:t>项目拟计划：2026年04月—2026年12月。自合同签订之日起9个月，计划时间2026年04-12月（台湾、西安）、2026年07-09月（台湾），具体时间以采购人要求为准</w:t>
      </w:r>
      <w:r>
        <w:rPr>
          <w:rFonts w:hint="eastAsia" w:ascii="仿宋_GB2312" w:hAnsi="仿宋_GB2312" w:eastAsia="仿宋_GB2312" w:cs="仿宋_GB2312"/>
          <w:sz w:val="28"/>
          <w:szCs w:val="28"/>
          <w:highlight w:val="none"/>
          <w:lang w:val="en-US" w:eastAsia="zh-CN"/>
        </w:rPr>
        <w:t>。</w:t>
      </w:r>
    </w:p>
    <w:p w14:paraId="13FB7346">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五、双方的权利和义务</w:t>
      </w:r>
    </w:p>
    <w:p w14:paraId="3E2D89C4">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（一）甲方的权利与义务</w:t>
      </w:r>
    </w:p>
    <w:p w14:paraId="0AA338E1">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1、甲方负责配合本次项目服务工作；</w:t>
      </w:r>
    </w:p>
    <w:p w14:paraId="3A1E93BC">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2、</w:t>
      </w:r>
      <w:r>
        <w:rPr>
          <w:rFonts w:hint="eastAsia" w:ascii="仿宋_GB2312" w:hAnsi="仿宋" w:eastAsia="仿宋_GB2312"/>
          <w:bCs/>
          <w:sz w:val="28"/>
          <w:szCs w:val="28"/>
          <w:lang w:val="en-US" w:eastAsia="zh-CN"/>
        </w:rPr>
        <w:t>乙方按照约定履行的情况下，</w:t>
      </w:r>
      <w:r>
        <w:rPr>
          <w:rFonts w:hint="eastAsia" w:ascii="仿宋_GB2312" w:hAnsi="仿宋" w:eastAsia="仿宋_GB2312"/>
          <w:bCs/>
          <w:sz w:val="28"/>
          <w:szCs w:val="28"/>
        </w:rPr>
        <w:t>甲方应按本合同的约定向乙方支付合同价款；</w:t>
      </w:r>
    </w:p>
    <w:p w14:paraId="0F4D786D">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3、甲方根据需要对乙方提供的服务方案进行审核，提供建议及意见，确定最终实施的服务方案，以便乙方遵照执行；</w:t>
      </w:r>
    </w:p>
    <w:p w14:paraId="679AF93A">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4、甲方有权对乙方的工作进行监督和考核</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并根据甲方考核结果核算应付款项</w:t>
      </w:r>
      <w:r>
        <w:rPr>
          <w:rFonts w:hint="eastAsia" w:ascii="仿宋_GB2312" w:hAnsi="仿宋" w:eastAsia="仿宋_GB2312"/>
          <w:bCs/>
          <w:sz w:val="28"/>
          <w:szCs w:val="28"/>
        </w:rPr>
        <w:t>。</w:t>
      </w:r>
    </w:p>
    <w:p w14:paraId="5B4717AC">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（二）乙方的权利与义务</w:t>
      </w:r>
    </w:p>
    <w:p w14:paraId="0DAFCF1E">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1、乙方的工作人员必须严格遵守甲方的规章制度，以良好的形象和积极的工作态度，按甲方要求开展工作；</w:t>
      </w:r>
    </w:p>
    <w:p w14:paraId="4C314C0D">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2、乙方应服从甲方统筹管理并按流程开展工作；</w:t>
      </w:r>
    </w:p>
    <w:p w14:paraId="4E83773A">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3、乙方保证安排的相关人员需按照指定时间到达指定地点进行服务，乙方在工作时间内不得迟到早退，如有特殊情况，必须事先通知并征得甲方同意；</w:t>
      </w:r>
    </w:p>
    <w:p w14:paraId="5831D59A">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4、乙方提交的方案等应得到甲方确认再予以实施；</w:t>
      </w:r>
    </w:p>
    <w:p w14:paraId="223CE4E4">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5、乙方在服务期间发布的任何涉及有关甲方的相关信息，需经甲方确认无误后方可发布；</w:t>
      </w:r>
    </w:p>
    <w:p w14:paraId="171B8DDE">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6、乙方负责解决所需要的工作条件及相应的工作配合，如场地的使用、水电提供、乙方工作人员出入等相关事宜，甲方有义务提供必要的便利条件。</w:t>
      </w:r>
    </w:p>
    <w:p w14:paraId="1D22C844">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 w:eastAsia="仿宋_GB2312"/>
          <w:bCs/>
          <w:sz w:val="28"/>
          <w:szCs w:val="28"/>
          <w:lang w:val="en-US" w:eastAsia="zh-CN"/>
        </w:rPr>
        <w:t>7、</w:t>
      </w:r>
      <w:r>
        <w:rPr>
          <w:rFonts w:hint="eastAsia" w:ascii="仿宋_GB2312" w:hAnsi="仿宋_GB2312" w:eastAsia="仿宋_GB2312" w:cs="仿宋_GB2312"/>
          <w:sz w:val="28"/>
          <w:szCs w:val="28"/>
          <w:highlight w:val="none"/>
          <w:lang w:val="en-US" w:eastAsia="zh-CN"/>
        </w:rPr>
        <w:t xml:space="preserve">乙方应向甲方提供工作人员名单，并保证检查人员的相对稳定。同时乙方应为本项目设置固定项目管理团队，并保证团队骨干的稳定性。 </w:t>
      </w:r>
    </w:p>
    <w:p w14:paraId="3A58DC64">
      <w:pPr>
        <w:autoSpaceDE w:val="0"/>
        <w:autoSpaceDN w:val="0"/>
        <w:adjustRightInd w:val="0"/>
        <w:snapToGrid w:val="0"/>
        <w:spacing w:line="360" w:lineRule="auto"/>
        <w:ind w:firstLine="560" w:firstLineChars="200"/>
        <w:rPr>
          <w:rFonts w:hint="default" w:ascii="仿宋_GB2312" w:hAnsi="仿宋" w:eastAsia="仿宋_GB2312"/>
          <w:bCs/>
          <w:sz w:val="28"/>
          <w:szCs w:val="28"/>
          <w:lang w:val="en-US" w:eastAsia="zh-CN"/>
        </w:rPr>
      </w:pPr>
      <w:r>
        <w:rPr>
          <w:rFonts w:hint="eastAsia" w:ascii="仿宋_GB2312" w:hAnsi="仿宋_GB2312" w:eastAsia="仿宋_GB2312" w:cs="仿宋_GB2312"/>
          <w:sz w:val="28"/>
          <w:szCs w:val="28"/>
          <w:highlight w:val="none"/>
          <w:lang w:val="en-US" w:eastAsia="zh-CN"/>
        </w:rPr>
        <w:t>8、在现场的乙方工作人员，应遵守甲方或管理单位的安全保卫及其他有关的规章制度，承担其有关资料保密义务。对于不称职或不合适服务岗位的乙方工作人员，甲方有权要求乙方立即更换</w:t>
      </w:r>
      <w:r>
        <w:rPr>
          <w:rFonts w:hint="eastAsia" w:ascii="仿宋_GB2312" w:hAnsi="仿宋" w:eastAsia="仿宋_GB2312"/>
          <w:bCs/>
          <w:sz w:val="28"/>
          <w:szCs w:val="28"/>
          <w:lang w:val="en-US" w:eastAsia="zh-CN"/>
        </w:rPr>
        <w:t>。</w:t>
      </w:r>
    </w:p>
    <w:p w14:paraId="431AE454">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 w:eastAsia="仿宋_GB2312"/>
          <w:b/>
          <w:bCs/>
          <w:sz w:val="28"/>
          <w:szCs w:val="28"/>
          <w:lang w:val="en-US" w:eastAsia="zh-CN"/>
        </w:rPr>
        <w:t>六</w:t>
      </w:r>
      <w:r>
        <w:rPr>
          <w:rFonts w:hint="eastAsia" w:ascii="仿宋_GB2312" w:hAnsi="仿宋" w:eastAsia="仿宋_GB2312"/>
          <w:b/>
          <w:bCs/>
          <w:sz w:val="28"/>
          <w:szCs w:val="28"/>
        </w:rPr>
        <w:t>、</w:t>
      </w:r>
      <w:r>
        <w:rPr>
          <w:rFonts w:hint="eastAsia" w:ascii="仿宋_GB2312" w:hAnsi="仿宋_GB2312" w:eastAsia="仿宋_GB2312" w:cs="仿宋_GB2312"/>
          <w:b/>
          <w:bCs/>
          <w:color w:val="auto"/>
          <w:sz w:val="28"/>
          <w:szCs w:val="28"/>
          <w:highlight w:val="none"/>
          <w:lang w:val="en-US" w:eastAsia="zh-CN"/>
        </w:rPr>
        <w:t>成果的归属</w:t>
      </w:r>
    </w:p>
    <w:p w14:paraId="09847B94">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一）开展该项工作的全部原始资料、中间过渡及最终成果所有权属于甲方。未经甲方书面授权许可，乙方不得擅自将原始资料、中间过渡和最终成果复制自留或提供给其他任何单位和个人使用，为自己或其他任何单位和个人谋取利益。 </w:t>
      </w:r>
    </w:p>
    <w:p w14:paraId="0860D2B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（二）本次成果所有权、使用权和著作权均属于甲方。乙方应确保提供服务过程中不会侵犯任何第三方的知识产权，否则承担由此产生的一切法律和经济责任。</w:t>
      </w:r>
    </w:p>
    <w:p w14:paraId="6216BE48">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（三）本项目作业过程中的所有资料或数据均属甲方，乙方不得以任何借口留存相关数据，且不得在合同规定之外自行处置数据，即不得自行删除、复制、修改、转移数据，同时不得以任何形式向第三方提供。 </w:t>
      </w:r>
    </w:p>
    <w:p w14:paraId="56522A1C">
      <w:pPr>
        <w:autoSpaceDE w:val="0"/>
        <w:autoSpaceDN w:val="0"/>
        <w:adjustRightInd w:val="0"/>
        <w:snapToGrid w:val="0"/>
        <w:spacing w:line="360" w:lineRule="auto"/>
        <w:ind w:firstLine="560" w:firstLineChars="200"/>
        <w:rPr>
          <w:rFonts w:hint="eastAsia" w:ascii="仿宋_GB2312" w:hAnsi="仿宋" w:eastAsia="仿宋_GB2312"/>
          <w:b/>
          <w:bCs/>
          <w:sz w:val="28"/>
          <w:szCs w:val="28"/>
        </w:rPr>
      </w:pPr>
      <w:r>
        <w:rPr>
          <w:rFonts w:hint="eastAsia" w:ascii="仿宋_GB2312" w:hAnsi="仿宋_GB2312" w:eastAsia="仿宋_GB2312" w:cs="仿宋_GB2312"/>
          <w:color w:val="auto"/>
          <w:sz w:val="28"/>
          <w:szCs w:val="28"/>
          <w:highlight w:val="none"/>
          <w:lang w:val="en-US" w:eastAsia="zh-CN"/>
        </w:rPr>
        <w:t>（四）未经甲方允许，任何单位和个人不得转让和使用本项目的测绘成果。</w:t>
      </w:r>
    </w:p>
    <w:p w14:paraId="78B307D8">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sz w:val="28"/>
          <w:szCs w:val="28"/>
          <w:lang w:val="en-US" w:eastAsia="zh-CN"/>
        </w:rPr>
        <w:t>七</w:t>
      </w:r>
      <w:r>
        <w:rPr>
          <w:rFonts w:hint="eastAsia" w:ascii="仿宋_GB2312" w:hAnsi="仿宋" w:eastAsia="仿宋_GB2312"/>
          <w:b/>
          <w:sz w:val="28"/>
          <w:szCs w:val="28"/>
        </w:rPr>
        <w:t>、</w:t>
      </w:r>
      <w:r>
        <w:rPr>
          <w:rFonts w:hint="eastAsia" w:ascii="仿宋_GB2312" w:hAnsi="仿宋" w:eastAsia="仿宋_GB2312"/>
          <w:b/>
          <w:bCs/>
          <w:sz w:val="28"/>
          <w:szCs w:val="28"/>
        </w:rPr>
        <w:t>服务质量保证</w:t>
      </w:r>
    </w:p>
    <w:p w14:paraId="3C573C73">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（一）乙方需建立高效的管理团队，项目团队组成合理。</w:t>
      </w:r>
    </w:p>
    <w:p w14:paraId="038F645B">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（二）乙方需派一名项目经理，直接与甲方沟通，项目经理接收甲方提出的问题与要求，并及时反馈给工作组，解决在项目实施过程中遇到的问题。</w:t>
      </w:r>
    </w:p>
    <w:p w14:paraId="705166EE">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（三）项目在实施过程中会出现不可预料的需求变更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需求细化</w:t>
      </w:r>
      <w:r>
        <w:rPr>
          <w:rFonts w:hint="eastAsia" w:ascii="仿宋_GB2312" w:hAnsi="仿宋" w:eastAsia="仿宋_GB2312"/>
          <w:bCs/>
          <w:sz w:val="28"/>
          <w:szCs w:val="28"/>
        </w:rPr>
        <w:t>，乙方需积极配合甲方的需求变更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需求细化</w:t>
      </w:r>
      <w:r>
        <w:rPr>
          <w:rFonts w:hint="eastAsia" w:ascii="仿宋_GB2312" w:hAnsi="仿宋" w:eastAsia="仿宋_GB2312"/>
          <w:bCs/>
          <w:sz w:val="28"/>
          <w:szCs w:val="28"/>
        </w:rPr>
        <w:t>，并按照变更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细化</w:t>
      </w:r>
      <w:r>
        <w:rPr>
          <w:rFonts w:hint="eastAsia" w:ascii="仿宋_GB2312" w:hAnsi="仿宋" w:eastAsia="仿宋_GB2312"/>
          <w:bCs/>
          <w:sz w:val="28"/>
          <w:szCs w:val="28"/>
        </w:rPr>
        <w:t>后的需求继续实施。</w:t>
      </w:r>
    </w:p>
    <w:p w14:paraId="0DBBFF84">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（四）乙方需设有详细的技术资料档案和服务档案以便于更好地提供服务</w:t>
      </w:r>
    </w:p>
    <w:p w14:paraId="749E0FFA">
      <w:pPr>
        <w:spacing w:line="360" w:lineRule="auto"/>
        <w:ind w:firstLine="562" w:firstLineChars="200"/>
        <w:rPr>
          <w:rFonts w:hint="eastAsia" w:ascii="仿宋_GB2312" w:hAnsi="仿宋" w:eastAsia="仿宋_GB2312"/>
          <w:b/>
          <w:sz w:val="28"/>
          <w:szCs w:val="28"/>
          <w:lang w:val="en-US" w:eastAsia="zh-CN"/>
        </w:rPr>
      </w:pPr>
      <w:r>
        <w:rPr>
          <w:rFonts w:hint="eastAsia" w:ascii="仿宋_GB2312" w:hAnsi="仿宋" w:eastAsia="仿宋_GB2312"/>
          <w:b/>
          <w:sz w:val="28"/>
          <w:szCs w:val="28"/>
          <w:lang w:val="en-US" w:eastAsia="zh-CN"/>
        </w:rPr>
        <w:t>八</w:t>
      </w:r>
      <w:r>
        <w:rPr>
          <w:rFonts w:hint="eastAsia" w:ascii="仿宋_GB2312" w:hAnsi="仿宋" w:eastAsia="仿宋_GB2312"/>
          <w:b/>
          <w:sz w:val="28"/>
          <w:szCs w:val="28"/>
        </w:rPr>
        <w:t>、</w:t>
      </w:r>
      <w:r>
        <w:rPr>
          <w:rFonts w:hint="eastAsia" w:ascii="仿宋_GB2312" w:hAnsi="仿宋" w:eastAsia="仿宋_GB2312"/>
          <w:b/>
          <w:sz w:val="28"/>
          <w:szCs w:val="28"/>
          <w:lang w:val="en-US" w:eastAsia="zh-CN"/>
        </w:rPr>
        <w:t>验收</w:t>
      </w:r>
    </w:p>
    <w:p w14:paraId="5BFCC6E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（一）本项目验收费用，由乙方自行承担。</w:t>
      </w:r>
    </w:p>
    <w:p w14:paraId="3A47303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（二）服务期满后，由乙方向甲方递交验收通知书，经甲方确认后，组织乙方进行系统验收。验收合格后，填写项目验收单作为对本次服务的最终认可。</w:t>
      </w:r>
    </w:p>
    <w:p w14:paraId="44D490B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（三）验收依据：</w:t>
      </w:r>
    </w:p>
    <w:p w14:paraId="0545CE1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1、本合同及附加文本；</w:t>
      </w:r>
    </w:p>
    <w:p w14:paraId="0BE128B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2、</w:t>
      </w:r>
      <w:r>
        <w:rPr>
          <w:rFonts w:hint="eastAsia" w:ascii="仿宋_GB2312" w:hAnsi="仿宋_GB2312" w:eastAsia="仿宋_GB2312" w:cs="仿宋_GB2312"/>
          <w:bCs/>
          <w:sz w:val="28"/>
          <w:szCs w:val="28"/>
          <w:highlight w:val="none"/>
          <w:lang w:val="en-US" w:eastAsia="zh-CN"/>
        </w:rPr>
        <w:t>单一来源采购</w:t>
      </w:r>
      <w:r>
        <w:rPr>
          <w:rFonts w:hint="eastAsia" w:ascii="仿宋_GB2312" w:hAnsi="仿宋_GB2312" w:eastAsia="仿宋_GB2312" w:cs="仿宋_GB2312"/>
          <w:bCs/>
          <w:sz w:val="28"/>
          <w:szCs w:val="28"/>
          <w:highlight w:val="none"/>
        </w:rPr>
        <w:t>文件、</w:t>
      </w:r>
      <w:r>
        <w:rPr>
          <w:rFonts w:hint="eastAsia" w:ascii="仿宋_GB2312" w:hAnsi="仿宋_GB2312" w:eastAsia="仿宋_GB2312" w:cs="仿宋_GB2312"/>
          <w:bCs/>
          <w:sz w:val="28"/>
          <w:szCs w:val="28"/>
          <w:highlight w:val="none"/>
          <w:lang w:val="en-US" w:eastAsia="zh-CN"/>
        </w:rPr>
        <w:t>成交供应商</w:t>
      </w:r>
      <w:r>
        <w:rPr>
          <w:rFonts w:hint="eastAsia" w:ascii="仿宋_GB2312" w:hAnsi="仿宋_GB2312" w:eastAsia="仿宋_GB2312" w:cs="仿宋_GB2312"/>
          <w:bCs/>
          <w:sz w:val="28"/>
          <w:szCs w:val="28"/>
          <w:highlight w:val="none"/>
        </w:rPr>
        <w:t>的</w:t>
      </w:r>
      <w:r>
        <w:rPr>
          <w:rFonts w:hint="eastAsia" w:ascii="仿宋_GB2312" w:hAnsi="仿宋_GB2312" w:eastAsia="仿宋_GB2312" w:cs="仿宋_GB2312"/>
          <w:bCs/>
          <w:sz w:val="28"/>
          <w:szCs w:val="28"/>
          <w:highlight w:val="none"/>
          <w:lang w:val="en-US" w:eastAsia="zh-CN"/>
        </w:rPr>
        <w:t>响应</w:t>
      </w:r>
      <w:r>
        <w:rPr>
          <w:rFonts w:hint="eastAsia" w:ascii="仿宋_GB2312" w:hAnsi="仿宋_GB2312" w:eastAsia="仿宋_GB2312" w:cs="仿宋_GB2312"/>
          <w:bCs/>
          <w:sz w:val="28"/>
          <w:szCs w:val="28"/>
          <w:highlight w:val="none"/>
        </w:rPr>
        <w:t>文件及澄清（承诺）函；</w:t>
      </w:r>
    </w:p>
    <w:p w14:paraId="15E51FF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rPr>
        <w:t>3、国家相应的标准、规范</w:t>
      </w:r>
      <w:r>
        <w:rPr>
          <w:rFonts w:hint="eastAsia" w:ascii="仿宋_GB2312" w:hAnsi="仿宋_GB2312" w:eastAsia="仿宋_GB2312" w:cs="仿宋_GB2312"/>
          <w:bCs/>
          <w:sz w:val="28"/>
          <w:szCs w:val="28"/>
          <w:highlight w:val="none"/>
          <w:lang w:eastAsia="zh-CN"/>
        </w:rPr>
        <w:t>。</w:t>
      </w:r>
    </w:p>
    <w:p w14:paraId="05C1C2D6">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 w:eastAsia="仿宋_GB2312"/>
          <w:b/>
          <w:sz w:val="28"/>
          <w:szCs w:val="28"/>
          <w:lang w:val="en-US" w:eastAsia="zh-CN"/>
        </w:rPr>
        <w:t>九</w:t>
      </w:r>
      <w:r>
        <w:rPr>
          <w:rFonts w:hint="eastAsia" w:ascii="仿宋_GB2312" w:hAnsi="仿宋" w:eastAsia="仿宋_GB2312"/>
          <w:b/>
          <w:sz w:val="28"/>
          <w:szCs w:val="28"/>
        </w:rPr>
        <w:t>、</w:t>
      </w:r>
      <w:r>
        <w:rPr>
          <w:rFonts w:hint="eastAsia" w:ascii="仿宋_GB2312" w:hAnsi="仿宋_GB2312" w:eastAsia="仿宋_GB2312" w:cs="仿宋_GB2312"/>
          <w:b/>
          <w:bCs/>
          <w:color w:val="auto"/>
          <w:sz w:val="28"/>
          <w:szCs w:val="28"/>
          <w:highlight w:val="none"/>
          <w:lang w:val="en-US" w:eastAsia="zh-CN"/>
        </w:rPr>
        <w:t>保密制度</w:t>
      </w:r>
    </w:p>
    <w:p w14:paraId="172F7088">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（一）乙方必须按国家有关保密法律法规的要求，采取有效的保密措施，严防甲方提供给乙方的成果和资料泄密。由于乙方原因造成成果资料泄密，一切责任乙方承担。 </w:t>
      </w:r>
    </w:p>
    <w:p w14:paraId="7E0606A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（二）乙方不得利用甲方因执行本合同提供给乙方的成果和资料从事任何商业性活动。</w:t>
      </w:r>
    </w:p>
    <w:p w14:paraId="6D666E4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（三）乙方应妥善保管项目相关资料及成果文件，未经甲方许可，不得复制、转让（借）、公开或销毁。乙方应与项目组所有成员签订保密协议，并将保密协议报送甲方备案。 </w:t>
      </w:r>
    </w:p>
    <w:p w14:paraId="2918CBF9">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（四）除法律规定或合同另有约定外，未经甲方同意，乙方不得将甲方提供的相关资料、数据和图件泄露给第三方。 </w:t>
      </w:r>
    </w:p>
    <w:p w14:paraId="69BD8AEA">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（五）本合同的解除或终止不免除乙方应承担的保密义务。</w:t>
      </w:r>
    </w:p>
    <w:p w14:paraId="0DAAC6C1">
      <w:pPr>
        <w:keepNext w:val="0"/>
        <w:keepLines w:val="0"/>
        <w:pageBreakBefore w:val="0"/>
        <w:widowControl w:val="0"/>
        <w:kinsoku/>
        <w:wordWrap w:val="0"/>
        <w:overflowPunct/>
        <w:topLinePunct w:val="0"/>
        <w:autoSpaceDE/>
        <w:autoSpaceDN/>
        <w:bidi w:val="0"/>
        <w:adjustRightInd/>
        <w:snapToGrid/>
        <w:spacing w:line="360" w:lineRule="auto"/>
        <w:ind w:firstLine="562" w:firstLineChars="200"/>
        <w:jc w:val="left"/>
        <w:textAlignment w:val="auto"/>
        <w:rPr>
          <w:rFonts w:hint="eastAsia" w:ascii="仿宋_GB2312" w:hAnsi="仿宋" w:eastAsia="仿宋_GB2312"/>
          <w:b/>
          <w:sz w:val="28"/>
          <w:szCs w:val="28"/>
        </w:rPr>
      </w:pPr>
      <w:r>
        <w:rPr>
          <w:rFonts w:hint="eastAsia" w:ascii="仿宋_GB2312" w:hAnsi="仿宋" w:eastAsia="仿宋_GB2312"/>
          <w:b/>
          <w:sz w:val="28"/>
          <w:szCs w:val="28"/>
          <w:lang w:val="en-US" w:eastAsia="zh-CN"/>
        </w:rPr>
        <w:t>十</w:t>
      </w:r>
      <w:r>
        <w:rPr>
          <w:rFonts w:hint="eastAsia" w:ascii="仿宋_GB2312" w:hAnsi="仿宋" w:eastAsia="仿宋_GB2312"/>
          <w:b/>
          <w:sz w:val="28"/>
          <w:szCs w:val="28"/>
        </w:rPr>
        <w:t>、其他事项</w:t>
      </w:r>
    </w:p>
    <w:p w14:paraId="50F837F0">
      <w:pPr>
        <w:autoSpaceDE w:val="0"/>
        <w:autoSpaceDN w:val="0"/>
        <w:adjustRightInd w:val="0"/>
        <w:snapToGrid w:val="0"/>
        <w:spacing w:line="360" w:lineRule="auto"/>
        <w:ind w:firstLine="63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（一）乙方不得将项目转让、分包给其它单位或个人。</w:t>
      </w:r>
    </w:p>
    <w:p w14:paraId="6A6D7B81">
      <w:pPr>
        <w:autoSpaceDE w:val="0"/>
        <w:autoSpaceDN w:val="0"/>
        <w:adjustRightInd w:val="0"/>
        <w:snapToGrid w:val="0"/>
        <w:spacing w:line="360" w:lineRule="auto"/>
        <w:ind w:firstLine="63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（二）乙方的响应文件和承诺等内容将列入合同。</w:t>
      </w:r>
    </w:p>
    <w:p w14:paraId="743B1B16">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lang w:val="en-US" w:eastAsia="zh-CN"/>
        </w:rPr>
        <w:t>十一</w:t>
      </w:r>
      <w:r>
        <w:rPr>
          <w:rFonts w:hint="eastAsia" w:ascii="仿宋_GB2312" w:hAnsi="仿宋" w:eastAsia="仿宋_GB2312"/>
          <w:b/>
          <w:sz w:val="28"/>
          <w:szCs w:val="28"/>
        </w:rPr>
        <w:t>、违约责任</w:t>
      </w:r>
    </w:p>
    <w:p w14:paraId="6346B291">
      <w:pPr>
        <w:autoSpaceDE w:val="0"/>
        <w:autoSpaceDN w:val="0"/>
        <w:adjustRightInd w:val="0"/>
        <w:snapToGrid w:val="0"/>
        <w:spacing w:line="360" w:lineRule="auto"/>
        <w:ind w:firstLine="63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（一）按《中华人民共和国民法典》中的相关条款执行。</w:t>
      </w:r>
    </w:p>
    <w:p w14:paraId="383AE58C">
      <w:pPr>
        <w:autoSpaceDE w:val="0"/>
        <w:autoSpaceDN w:val="0"/>
        <w:adjustRightInd w:val="0"/>
        <w:snapToGrid w:val="0"/>
        <w:spacing w:line="360" w:lineRule="auto"/>
        <w:ind w:firstLine="63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（二）按合同要求提供服务或服务质量不能满足</w:t>
      </w:r>
      <w:r>
        <w:rPr>
          <w:rFonts w:hint="eastAsia" w:ascii="仿宋_GB2312" w:hAnsi="仿宋_GB2312" w:eastAsia="仿宋_GB2312" w:cs="仿宋_GB2312"/>
          <w:sz w:val="28"/>
          <w:szCs w:val="28"/>
          <w:highlight w:val="none"/>
        </w:rPr>
        <w:t>不能满足本次磋商要求</w:t>
      </w:r>
      <w:r>
        <w:rPr>
          <w:rFonts w:hint="eastAsia" w:ascii="仿宋_GB2312" w:hAnsi="仿宋_GB2312" w:eastAsia="仿宋_GB2312" w:cs="仿宋_GB2312"/>
          <w:bCs/>
          <w:sz w:val="28"/>
          <w:szCs w:val="28"/>
          <w:highlight w:val="none"/>
        </w:rPr>
        <w:t>，乙方必须无条件提高技术，完善服务质量，否则，甲方会同监督机构、采购代理机构有权终止合同并对乙方违约行为进行追究，同时按政府采购供应商管理办法进行相应的处罚。</w:t>
      </w:r>
    </w:p>
    <w:p w14:paraId="7F7EEA3D">
      <w:pPr>
        <w:autoSpaceDE w:val="0"/>
        <w:autoSpaceDN w:val="0"/>
        <w:adjustRightInd w:val="0"/>
        <w:snapToGrid w:val="0"/>
        <w:spacing w:line="360" w:lineRule="auto"/>
        <w:ind w:firstLine="560" w:firstLineChars="200"/>
        <w:rPr>
          <w:rFonts w:hint="eastAsia"/>
        </w:rPr>
      </w:pPr>
      <w:r>
        <w:rPr>
          <w:rFonts w:hint="eastAsia" w:ascii="仿宋_GB2312" w:hAnsi="仿宋_GB2312" w:eastAsia="仿宋_GB2312" w:cs="仿宋_GB2312"/>
          <w:bCs/>
          <w:sz w:val="28"/>
          <w:szCs w:val="28"/>
          <w:highlight w:val="none"/>
        </w:rPr>
        <w:t>（三）任何一方因不可抗力原因不能履行协议时，应尽快通知对方，双方均设法补偿。如仍无法履约协议，可协商延缓或撤销协议，双方责任免除</w:t>
      </w:r>
      <w:r>
        <w:rPr>
          <w:rFonts w:hint="eastAsia" w:ascii="仿宋_GB2312" w:hAnsi="仿宋" w:eastAsia="仿宋_GB2312"/>
          <w:bCs/>
          <w:sz w:val="28"/>
          <w:szCs w:val="28"/>
        </w:rPr>
        <w:t>。</w:t>
      </w:r>
    </w:p>
    <w:p w14:paraId="57E86778">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rPr>
        <w:t>十</w:t>
      </w:r>
      <w:r>
        <w:rPr>
          <w:rFonts w:hint="eastAsia" w:ascii="仿宋_GB2312" w:hAnsi="仿宋" w:eastAsia="仿宋_GB2312"/>
          <w:b/>
          <w:sz w:val="28"/>
          <w:szCs w:val="28"/>
          <w:lang w:val="en-US" w:eastAsia="zh-CN"/>
        </w:rPr>
        <w:t>二</w:t>
      </w:r>
      <w:r>
        <w:rPr>
          <w:rFonts w:hint="eastAsia" w:ascii="仿宋_GB2312" w:hAnsi="仿宋" w:eastAsia="仿宋_GB2312"/>
          <w:b/>
          <w:sz w:val="28"/>
          <w:szCs w:val="28"/>
        </w:rPr>
        <w:t>、合同争议解决的方式</w:t>
      </w:r>
    </w:p>
    <w:p w14:paraId="156B36E4">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本合同在履行过程中发生的争议，由甲、乙双方当事人协商解决，协商不成的按下列第</w:t>
      </w:r>
      <w:r>
        <w:rPr>
          <w:rFonts w:hint="eastAsia" w:ascii="仿宋_GB2312" w:hAnsi="仿宋" w:eastAsia="仿宋_GB2312"/>
          <w:bCs/>
          <w:sz w:val="28"/>
          <w:szCs w:val="28"/>
          <w:u w:val="single"/>
        </w:rPr>
        <w:t>（二）</w:t>
      </w:r>
      <w:r>
        <w:rPr>
          <w:rFonts w:hint="eastAsia" w:ascii="仿宋_GB2312" w:hAnsi="仿宋" w:eastAsia="仿宋_GB2312"/>
          <w:bCs/>
          <w:sz w:val="28"/>
          <w:szCs w:val="28"/>
        </w:rPr>
        <w:t>种方式解决：</w:t>
      </w:r>
    </w:p>
    <w:p w14:paraId="37683193">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（一）提交西安仲裁委员会仲裁；</w:t>
      </w:r>
    </w:p>
    <w:p w14:paraId="6B1A95D2">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（二）依法向甲方所在地人民法院起诉。</w:t>
      </w:r>
    </w:p>
    <w:p w14:paraId="1170EDA1">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lang w:val="en-US" w:eastAsia="zh-CN"/>
        </w:rPr>
        <w:t>十三、</w:t>
      </w:r>
      <w:r>
        <w:rPr>
          <w:rFonts w:hint="eastAsia" w:ascii="仿宋_GB2312" w:hAnsi="仿宋" w:eastAsia="仿宋_GB2312"/>
          <w:b/>
          <w:sz w:val="28"/>
          <w:szCs w:val="28"/>
        </w:rPr>
        <w:t>合同生效</w:t>
      </w:r>
    </w:p>
    <w:p w14:paraId="7500F397">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sz w:val="28"/>
          <w:szCs w:val="28"/>
        </w:rPr>
      </w:pPr>
      <w:r>
        <w:rPr>
          <w:rFonts w:hint="eastAsia" w:ascii="仿宋_GB2312" w:hAnsi="仿宋" w:eastAsia="仿宋_GB2312"/>
          <w:bCs/>
          <w:sz w:val="28"/>
          <w:szCs w:val="28"/>
        </w:rPr>
        <w:t>（一）本合同须经甲、乙双方的法定代表人（授权代表）在合同书上签字并加盖本单位公章后正式生效。</w:t>
      </w:r>
    </w:p>
    <w:p w14:paraId="70877E72">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ascii="仿宋_GB2312" w:hAnsi="仿宋" w:eastAsia="仿宋_GB2312"/>
          <w:bCs/>
          <w:sz w:val="28"/>
          <w:szCs w:val="28"/>
        </w:rPr>
      </w:pPr>
      <w:r>
        <w:rPr>
          <w:rFonts w:hint="eastAsia" w:ascii="仿宋_GB2312" w:hAnsi="仿宋" w:eastAsia="仿宋_GB2312"/>
          <w:bCs/>
          <w:sz w:val="28"/>
          <w:szCs w:val="28"/>
        </w:rPr>
        <w:t>（二）合同生效后，甲、乙双方须严格执行本合同条款的规定，全面履行合同，违者按《中华人民共和国民法典》的有关规定承担相应责任。</w:t>
      </w:r>
    </w:p>
    <w:p w14:paraId="1F6D47B0">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（三）本合同一式</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份，甲乙双方各执</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w:t>
      </w:r>
    </w:p>
    <w:p w14:paraId="552A08CE">
      <w:pPr>
        <w:keepNext w:val="0"/>
        <w:keepLines w:val="0"/>
        <w:pageBreakBefore w:val="0"/>
        <w:widowControl w:val="0"/>
        <w:kinsoku/>
        <w:wordWrap/>
        <w:overflowPunct/>
        <w:topLinePunct w:val="0"/>
        <w:autoSpaceDE w:val="0"/>
        <w:autoSpaceDN w:val="0"/>
        <w:bidi w:val="0"/>
        <w:adjustRightInd w:val="0"/>
        <w:snapToGrid w:val="0"/>
        <w:spacing w:after="0" w:afterLines="50"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_GB2312" w:eastAsia="仿宋_GB2312" w:cs="仿宋_GB2312"/>
          <w:sz w:val="28"/>
          <w:szCs w:val="28"/>
        </w:rPr>
        <w:t>（四）本合同如有未尽事宜，甲、乙双方协商解决</w:t>
      </w:r>
      <w:r>
        <w:rPr>
          <w:rFonts w:hint="eastAsia" w:ascii="仿宋_GB2312" w:hAnsi="仿宋" w:eastAsia="仿宋_GB2312"/>
          <w:bCs/>
          <w:sz w:val="28"/>
          <w:szCs w:val="28"/>
          <w:highlight w:val="none"/>
        </w:rPr>
        <w:t>。</w:t>
      </w:r>
    </w:p>
    <w:p w14:paraId="0BF159A8">
      <w:pPr>
        <w:pStyle w:val="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以下无正文</w:t>
      </w:r>
      <w:r>
        <w:rPr>
          <w:rFonts w:hint="eastAsia" w:ascii="仿宋_GB2312" w:hAnsi="仿宋_GB2312" w:eastAsia="仿宋_GB2312" w:cs="仿宋_GB2312"/>
          <w:sz w:val="28"/>
          <w:szCs w:val="28"/>
          <w:lang w:eastAsia="zh-CN"/>
        </w:rPr>
        <w:t>）</w:t>
      </w:r>
    </w:p>
    <w:p w14:paraId="53ACD7AD">
      <w:pPr>
        <w:spacing w:line="360" w:lineRule="auto"/>
        <w:rPr>
          <w:rFonts w:hint="eastAsia" w:ascii="仿宋_GB2312" w:hAnsi="仿宋_GB2312" w:eastAsia="仿宋_GB2312" w:cs="仿宋_GB2312"/>
          <w:sz w:val="28"/>
          <w:szCs w:val="28"/>
        </w:rPr>
      </w:pPr>
    </w:p>
    <w:p w14:paraId="2279585F">
      <w:pPr>
        <w:pStyle w:val="5"/>
        <w:rPr>
          <w:rFonts w:hint="eastAsia" w:ascii="仿宋_GB2312" w:hAnsi="仿宋_GB2312" w:eastAsia="仿宋_GB2312" w:cs="仿宋_GB2312"/>
          <w:sz w:val="28"/>
          <w:szCs w:val="28"/>
        </w:rPr>
      </w:pPr>
    </w:p>
    <w:p w14:paraId="6319C7E3"/>
    <w:p w14:paraId="48068CBD">
      <w:pPr>
        <w:pStyle w:val="8"/>
        <w:tabs>
          <w:tab w:val="center" w:pos="4153"/>
          <w:tab w:val="right" w:pos="8306"/>
          <w:tab w:val="clear" w:pos="4140"/>
          <w:tab w:val="clear" w:pos="8300"/>
        </w:tabs>
        <w:rPr>
          <w:rFonts w:ascii="仿宋_GB2312" w:hAnsi="仿宋_GB2312" w:eastAsia="仿宋_GB2312" w:cs="仿宋_GB2312"/>
          <w:sz w:val="28"/>
          <w:szCs w:val="28"/>
        </w:rPr>
      </w:pPr>
    </w:p>
    <w:tbl>
      <w:tblPr>
        <w:tblStyle w:val="13"/>
        <w:tblW w:w="0" w:type="auto"/>
        <w:jc w:val="center"/>
        <w:tblLayout w:type="fixed"/>
        <w:tblCellMar>
          <w:top w:w="0" w:type="dxa"/>
          <w:left w:w="108" w:type="dxa"/>
          <w:bottom w:w="0" w:type="dxa"/>
          <w:right w:w="108" w:type="dxa"/>
        </w:tblCellMar>
      </w:tblPr>
      <w:tblGrid>
        <w:gridCol w:w="4201"/>
        <w:gridCol w:w="4202"/>
      </w:tblGrid>
      <w:tr w14:paraId="370DEF25">
        <w:tblPrEx>
          <w:tblCellMar>
            <w:top w:w="0" w:type="dxa"/>
            <w:left w:w="108" w:type="dxa"/>
            <w:bottom w:w="0" w:type="dxa"/>
            <w:right w:w="108" w:type="dxa"/>
          </w:tblCellMar>
        </w:tblPrEx>
        <w:trPr>
          <w:trHeight w:val="567" w:hRule="exact"/>
          <w:jc w:val="center"/>
        </w:trPr>
        <w:tc>
          <w:tcPr>
            <w:tcW w:w="4201" w:type="dxa"/>
            <w:noWrap w:val="0"/>
            <w:vAlign w:val="center"/>
          </w:tcPr>
          <w:p w14:paraId="2E97E2E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甲  方</w:t>
            </w:r>
          </w:p>
        </w:tc>
        <w:tc>
          <w:tcPr>
            <w:tcW w:w="4202" w:type="dxa"/>
            <w:noWrap w:val="0"/>
            <w:vAlign w:val="center"/>
          </w:tcPr>
          <w:p w14:paraId="3B39BF2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乙  方</w:t>
            </w:r>
          </w:p>
        </w:tc>
      </w:tr>
      <w:tr w14:paraId="407CD09A">
        <w:tblPrEx>
          <w:tblCellMar>
            <w:top w:w="0" w:type="dxa"/>
            <w:left w:w="108" w:type="dxa"/>
            <w:bottom w:w="0" w:type="dxa"/>
            <w:right w:w="108" w:type="dxa"/>
          </w:tblCellMar>
        </w:tblPrEx>
        <w:trPr>
          <w:trHeight w:val="567" w:hRule="exact"/>
          <w:jc w:val="center"/>
        </w:trPr>
        <w:tc>
          <w:tcPr>
            <w:tcW w:w="4201" w:type="dxa"/>
            <w:noWrap w:val="0"/>
            <w:vAlign w:val="center"/>
          </w:tcPr>
          <w:p w14:paraId="007B0DA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（盖章）</w:t>
            </w:r>
          </w:p>
        </w:tc>
        <w:tc>
          <w:tcPr>
            <w:tcW w:w="4202" w:type="dxa"/>
            <w:noWrap w:val="0"/>
            <w:vAlign w:val="center"/>
          </w:tcPr>
          <w:p w14:paraId="2F3E5B3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（盖章）</w:t>
            </w:r>
          </w:p>
        </w:tc>
      </w:tr>
      <w:tr w14:paraId="36297EA2">
        <w:tblPrEx>
          <w:tblCellMar>
            <w:top w:w="0" w:type="dxa"/>
            <w:left w:w="108" w:type="dxa"/>
            <w:bottom w:w="0" w:type="dxa"/>
            <w:right w:w="108" w:type="dxa"/>
          </w:tblCellMar>
        </w:tblPrEx>
        <w:trPr>
          <w:trHeight w:val="567" w:hRule="exact"/>
          <w:jc w:val="center"/>
        </w:trPr>
        <w:tc>
          <w:tcPr>
            <w:tcW w:w="4201" w:type="dxa"/>
            <w:noWrap w:val="0"/>
            <w:vAlign w:val="center"/>
          </w:tcPr>
          <w:p w14:paraId="21F92F6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 xml:space="preserve">地址： </w:t>
            </w:r>
          </w:p>
        </w:tc>
        <w:tc>
          <w:tcPr>
            <w:tcW w:w="4202" w:type="dxa"/>
            <w:noWrap w:val="0"/>
            <w:vAlign w:val="center"/>
          </w:tcPr>
          <w:p w14:paraId="435659B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地址：</w:t>
            </w:r>
          </w:p>
        </w:tc>
      </w:tr>
      <w:tr w14:paraId="7A2FD35E">
        <w:tblPrEx>
          <w:tblCellMar>
            <w:top w:w="0" w:type="dxa"/>
            <w:left w:w="108" w:type="dxa"/>
            <w:bottom w:w="0" w:type="dxa"/>
            <w:right w:w="108" w:type="dxa"/>
          </w:tblCellMar>
        </w:tblPrEx>
        <w:trPr>
          <w:trHeight w:val="567" w:hRule="exact"/>
          <w:jc w:val="center"/>
        </w:trPr>
        <w:tc>
          <w:tcPr>
            <w:tcW w:w="4201" w:type="dxa"/>
            <w:noWrap w:val="0"/>
            <w:vAlign w:val="center"/>
          </w:tcPr>
          <w:p w14:paraId="05306FF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 xml:space="preserve">法定代表人 </w:t>
            </w:r>
          </w:p>
        </w:tc>
        <w:tc>
          <w:tcPr>
            <w:tcW w:w="4202" w:type="dxa"/>
            <w:noWrap w:val="0"/>
            <w:vAlign w:val="center"/>
          </w:tcPr>
          <w:p w14:paraId="41FAEDB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法定代表人</w:t>
            </w:r>
          </w:p>
        </w:tc>
      </w:tr>
      <w:tr w14:paraId="069CCC2D">
        <w:tblPrEx>
          <w:tblCellMar>
            <w:top w:w="0" w:type="dxa"/>
            <w:left w:w="108" w:type="dxa"/>
            <w:bottom w:w="0" w:type="dxa"/>
            <w:right w:w="108" w:type="dxa"/>
          </w:tblCellMar>
        </w:tblPrEx>
        <w:trPr>
          <w:trHeight w:val="567" w:hRule="exact"/>
          <w:jc w:val="center"/>
        </w:trPr>
        <w:tc>
          <w:tcPr>
            <w:tcW w:w="4201" w:type="dxa"/>
            <w:noWrap w:val="0"/>
            <w:vAlign w:val="center"/>
          </w:tcPr>
          <w:p w14:paraId="554B926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或授权代表：</w:t>
            </w:r>
          </w:p>
        </w:tc>
        <w:tc>
          <w:tcPr>
            <w:tcW w:w="4202" w:type="dxa"/>
            <w:noWrap w:val="0"/>
            <w:vAlign w:val="center"/>
          </w:tcPr>
          <w:p w14:paraId="3EDC2B7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或授权代表：</w:t>
            </w:r>
          </w:p>
        </w:tc>
      </w:tr>
      <w:tr w14:paraId="7378F789">
        <w:tblPrEx>
          <w:tblCellMar>
            <w:top w:w="0" w:type="dxa"/>
            <w:left w:w="108" w:type="dxa"/>
            <w:bottom w:w="0" w:type="dxa"/>
            <w:right w:w="108" w:type="dxa"/>
          </w:tblCellMar>
        </w:tblPrEx>
        <w:trPr>
          <w:trHeight w:val="567" w:hRule="exact"/>
          <w:jc w:val="center"/>
        </w:trPr>
        <w:tc>
          <w:tcPr>
            <w:tcW w:w="4201" w:type="dxa"/>
            <w:noWrap w:val="0"/>
            <w:vAlign w:val="center"/>
          </w:tcPr>
          <w:p w14:paraId="1D2F093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电话：</w:t>
            </w:r>
          </w:p>
        </w:tc>
        <w:tc>
          <w:tcPr>
            <w:tcW w:w="4202" w:type="dxa"/>
            <w:noWrap w:val="0"/>
            <w:vAlign w:val="center"/>
          </w:tcPr>
          <w:p w14:paraId="5049EBE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电话：</w:t>
            </w:r>
          </w:p>
        </w:tc>
      </w:tr>
      <w:tr w14:paraId="2BE96FA8">
        <w:tblPrEx>
          <w:tblCellMar>
            <w:top w:w="0" w:type="dxa"/>
            <w:left w:w="108" w:type="dxa"/>
            <w:bottom w:w="0" w:type="dxa"/>
            <w:right w:w="108" w:type="dxa"/>
          </w:tblCellMar>
        </w:tblPrEx>
        <w:trPr>
          <w:trHeight w:val="567" w:hRule="exact"/>
          <w:jc w:val="center"/>
        </w:trPr>
        <w:tc>
          <w:tcPr>
            <w:tcW w:w="4201" w:type="dxa"/>
            <w:noWrap w:val="0"/>
            <w:vAlign w:val="center"/>
          </w:tcPr>
          <w:p w14:paraId="2CA2E8C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传真：</w:t>
            </w:r>
          </w:p>
        </w:tc>
        <w:tc>
          <w:tcPr>
            <w:tcW w:w="4202" w:type="dxa"/>
            <w:noWrap w:val="0"/>
            <w:vAlign w:val="center"/>
          </w:tcPr>
          <w:p w14:paraId="684F119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传真：</w:t>
            </w:r>
          </w:p>
        </w:tc>
      </w:tr>
      <w:tr w14:paraId="1CC82CBE">
        <w:tblPrEx>
          <w:tblCellMar>
            <w:top w:w="0" w:type="dxa"/>
            <w:left w:w="108" w:type="dxa"/>
            <w:bottom w:w="0" w:type="dxa"/>
            <w:right w:w="108" w:type="dxa"/>
          </w:tblCellMar>
        </w:tblPrEx>
        <w:trPr>
          <w:trHeight w:val="567" w:hRule="exact"/>
          <w:jc w:val="center"/>
        </w:trPr>
        <w:tc>
          <w:tcPr>
            <w:tcW w:w="4201" w:type="dxa"/>
            <w:noWrap w:val="0"/>
            <w:vAlign w:val="center"/>
          </w:tcPr>
          <w:p w14:paraId="7E044EA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开户银行：</w:t>
            </w:r>
          </w:p>
        </w:tc>
        <w:tc>
          <w:tcPr>
            <w:tcW w:w="4202" w:type="dxa"/>
            <w:noWrap w:val="0"/>
            <w:vAlign w:val="center"/>
          </w:tcPr>
          <w:p w14:paraId="0D67B84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lang w:val="en-US" w:eastAsia="zh-CN"/>
              </w:rPr>
            </w:pPr>
            <w:r>
              <w:rPr>
                <w:rFonts w:hint="eastAsia" w:ascii="仿宋_GB2312" w:hAnsi="仿宋" w:eastAsia="仿宋_GB2312"/>
                <w:bCs/>
                <w:sz w:val="28"/>
                <w:szCs w:val="28"/>
                <w:highlight w:val="none"/>
              </w:rPr>
              <w:t>开户银行：</w:t>
            </w:r>
          </w:p>
        </w:tc>
      </w:tr>
      <w:tr w14:paraId="38A4C527">
        <w:tblPrEx>
          <w:tblCellMar>
            <w:top w:w="0" w:type="dxa"/>
            <w:left w:w="108" w:type="dxa"/>
            <w:bottom w:w="0" w:type="dxa"/>
            <w:right w:w="108" w:type="dxa"/>
          </w:tblCellMar>
        </w:tblPrEx>
        <w:trPr>
          <w:trHeight w:val="567" w:hRule="exact"/>
          <w:jc w:val="center"/>
        </w:trPr>
        <w:tc>
          <w:tcPr>
            <w:tcW w:w="4201" w:type="dxa"/>
            <w:noWrap w:val="0"/>
            <w:vAlign w:val="center"/>
          </w:tcPr>
          <w:p w14:paraId="174106D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lang w:val="en-US" w:eastAsia="zh-CN"/>
              </w:rPr>
              <w:t>日期</w:t>
            </w:r>
            <w:r>
              <w:rPr>
                <w:rFonts w:hint="eastAsia" w:ascii="仿宋_GB2312" w:hAnsi="仿宋" w:eastAsia="仿宋_GB2312"/>
                <w:bCs/>
                <w:sz w:val="28"/>
                <w:szCs w:val="28"/>
                <w:highlight w:val="none"/>
              </w:rPr>
              <w:t>：</w:t>
            </w:r>
          </w:p>
        </w:tc>
        <w:tc>
          <w:tcPr>
            <w:tcW w:w="4202" w:type="dxa"/>
            <w:noWrap w:val="0"/>
            <w:vAlign w:val="center"/>
          </w:tcPr>
          <w:p w14:paraId="4519561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lang w:val="en-US" w:eastAsia="zh-CN"/>
              </w:rPr>
              <w:t>日期</w:t>
            </w:r>
            <w:r>
              <w:rPr>
                <w:rFonts w:hint="eastAsia" w:ascii="仿宋_GB2312" w:hAnsi="仿宋" w:eastAsia="仿宋_GB2312"/>
                <w:bCs/>
                <w:sz w:val="28"/>
                <w:szCs w:val="28"/>
                <w:highlight w:val="none"/>
              </w:rPr>
              <w:t>：</w:t>
            </w:r>
          </w:p>
        </w:tc>
      </w:tr>
    </w:tbl>
    <w:p w14:paraId="49ED32EA"/>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C129743-C9ED-4EB4-9E24-7557EFC5DD9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D4C6188F-6858-4C19-8466-CC1CA2A3F9E5}"/>
  </w:font>
  <w:font w:name="仿宋_GB2312">
    <w:panose1 w:val="02010609030101010101"/>
    <w:charset w:val="86"/>
    <w:family w:val="modern"/>
    <w:pitch w:val="default"/>
    <w:sig w:usb0="00000001" w:usb1="080E0000" w:usb2="00000000" w:usb3="00000000" w:csb0="00040000" w:csb1="00000000"/>
    <w:embedRegular r:id="rId3" w:fontKey="{E33808D4-A443-4A82-AD2D-9AC73CC03B3B}"/>
  </w:font>
  <w:font w:name="微软雅黑">
    <w:panose1 w:val="020B0503020204020204"/>
    <w:charset w:val="86"/>
    <w:family w:val="auto"/>
    <w:pitch w:val="default"/>
    <w:sig w:usb0="80000287" w:usb1="2ACF3C50" w:usb2="00000016" w:usb3="00000000" w:csb0="0004001F" w:csb1="00000000"/>
    <w:embedRegular r:id="rId4" w:fontKey="{C06BDAA1-BE6D-43A3-BBE4-23BD9781EE9F}"/>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6044D8E"/>
    <w:rsid w:val="063C3527"/>
    <w:rsid w:val="071938B9"/>
    <w:rsid w:val="0B186D4E"/>
    <w:rsid w:val="0CF24C32"/>
    <w:rsid w:val="0DA008CC"/>
    <w:rsid w:val="0EBB3568"/>
    <w:rsid w:val="0EC60B07"/>
    <w:rsid w:val="10332904"/>
    <w:rsid w:val="10CF4970"/>
    <w:rsid w:val="10F63A27"/>
    <w:rsid w:val="14561BE7"/>
    <w:rsid w:val="15B972A5"/>
    <w:rsid w:val="172B4FA4"/>
    <w:rsid w:val="192A37C4"/>
    <w:rsid w:val="198577DD"/>
    <w:rsid w:val="19966094"/>
    <w:rsid w:val="1CA80820"/>
    <w:rsid w:val="1D6E70FD"/>
    <w:rsid w:val="1E6D5F03"/>
    <w:rsid w:val="21665943"/>
    <w:rsid w:val="244871F4"/>
    <w:rsid w:val="25295AB7"/>
    <w:rsid w:val="274E2D73"/>
    <w:rsid w:val="27EF733B"/>
    <w:rsid w:val="292902AA"/>
    <w:rsid w:val="29BB6BC2"/>
    <w:rsid w:val="2C0F4050"/>
    <w:rsid w:val="2EAE2AA4"/>
    <w:rsid w:val="2EEA293E"/>
    <w:rsid w:val="2F1025C8"/>
    <w:rsid w:val="30104537"/>
    <w:rsid w:val="313868D1"/>
    <w:rsid w:val="325B49C3"/>
    <w:rsid w:val="326A7D77"/>
    <w:rsid w:val="33EF3E56"/>
    <w:rsid w:val="39094D4C"/>
    <w:rsid w:val="3CCE5611"/>
    <w:rsid w:val="3CE71A85"/>
    <w:rsid w:val="412A6A1E"/>
    <w:rsid w:val="414032D5"/>
    <w:rsid w:val="45684654"/>
    <w:rsid w:val="45FB0DB9"/>
    <w:rsid w:val="467E02E4"/>
    <w:rsid w:val="48401E0D"/>
    <w:rsid w:val="4EC118A7"/>
    <w:rsid w:val="4F1C52C5"/>
    <w:rsid w:val="4FDA2485"/>
    <w:rsid w:val="528C1FD1"/>
    <w:rsid w:val="54F63A8A"/>
    <w:rsid w:val="57DF2953"/>
    <w:rsid w:val="5C7E1FD1"/>
    <w:rsid w:val="5D3B49BA"/>
    <w:rsid w:val="60E414E6"/>
    <w:rsid w:val="61E5759F"/>
    <w:rsid w:val="64A137DB"/>
    <w:rsid w:val="64F06EE7"/>
    <w:rsid w:val="67493010"/>
    <w:rsid w:val="696F3399"/>
    <w:rsid w:val="734E36BE"/>
    <w:rsid w:val="741C09D0"/>
    <w:rsid w:val="74343D24"/>
    <w:rsid w:val="764F97C9"/>
    <w:rsid w:val="78C53AE4"/>
    <w:rsid w:val="7EB51055"/>
    <w:rsid w:val="7F3F399C"/>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next w:val="1"/>
    <w:autoRedefine/>
    <w:qFormat/>
    <w:uiPriority w:val="99"/>
    <w:pPr>
      <w:jc w:val="left"/>
    </w:pPr>
    <w:rPr>
      <w:kern w:val="0"/>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8"/>
    <w:autoRedefine/>
    <w:qFormat/>
    <w:uiPriority w:val="0"/>
    <w:rPr>
      <w:sz w:val="18"/>
      <w:szCs w:val="18"/>
    </w:rPr>
  </w:style>
  <w:style w:type="paragraph" w:styleId="8">
    <w:name w:val="footer"/>
    <w:basedOn w:val="1"/>
    <w:autoRedefine/>
    <w:qFormat/>
    <w:uiPriority w:val="0"/>
    <w:pPr>
      <w:tabs>
        <w:tab w:val="center" w:pos="4140"/>
        <w:tab w:val="right" w:pos="8300"/>
      </w:tabs>
      <w:snapToGrid w:val="0"/>
      <w:jc w:val="left"/>
    </w:pPr>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5"/>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9"/>
    <w:autoRedefine/>
    <w:qFormat/>
    <w:uiPriority w:val="0"/>
    <w:rPr>
      <w:kern w:val="2"/>
      <w:sz w:val="18"/>
      <w:szCs w:val="18"/>
    </w:rPr>
  </w:style>
  <w:style w:type="character" w:customStyle="1" w:styleId="18">
    <w:name w:val="批注框文本 Char"/>
    <w:basedOn w:val="15"/>
    <w:link w:val="7"/>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6</Pages>
  <Words>2835</Words>
  <Characters>2859</Characters>
  <Lines>12</Lines>
  <Paragraphs>3</Paragraphs>
  <TotalTime>0</TotalTime>
  <ScaleCrop>false</ScaleCrop>
  <LinksUpToDate>false</LinksUpToDate>
  <CharactersWithSpaces>2983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2026-03-27T09:13:42Z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