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版本号：HCXM-CS-2603-0420260327001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省直机关通勤班车租赁服务项目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HCXM-CS-2603-04</w:t>
      </w:r>
      <w:r>
        <w:br/>
      </w:r>
      <w:r>
        <w:br/>
      </w:r>
      <w:r>
        <w:br/>
      </w:r>
    </w:p>
    <w:p>
      <w:pPr>
        <w:pStyle w:val="null3"/>
        <w:jc w:val="center"/>
        <w:outlineLvl w:val="2"/>
      </w:pPr>
      <w:r>
        <w:rPr>
          <w:rFonts w:ascii="仿宋_GB2312" w:hAnsi="仿宋_GB2312" w:cs="仿宋_GB2312" w:eastAsia="仿宋_GB2312"/>
          <w:sz w:val="28"/>
          <w:b/>
        </w:rPr>
        <w:t>陕西省机关事务服务中心</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陕西省机关事务服务中心</w:t>
      </w:r>
      <w:r>
        <w:rPr>
          <w:rFonts w:ascii="仿宋_GB2312" w:hAnsi="仿宋_GB2312" w:cs="仿宋_GB2312" w:eastAsia="仿宋_GB2312"/>
        </w:rPr>
        <w:t>委托，拟对</w:t>
      </w:r>
      <w:r>
        <w:rPr>
          <w:rFonts w:ascii="仿宋_GB2312" w:hAnsi="仿宋_GB2312" w:cs="仿宋_GB2312" w:eastAsia="仿宋_GB2312"/>
        </w:rPr>
        <w:t>省直机关通勤班车租赁服务项目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HCXM-CS-2603-04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省直机关通勤班车租赁服务项目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按照服务路线及发车时间租赁通勤班车一批，数量8辆。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采购包1（省直机关通勤班车租赁服务项目）：属于专门面向中小企业采购。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2025年3月1日至今任意一个月的纳税证明或完税证明，依法免税的单位应提供相关证明材料；（4）、社会保障资金缴纳证明：提供2025年3月1日至今任意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（8）、提供具有履行本合同所必需的专业技术能力的声明；（9）具有交管部门颁发的《中华人民共和国道路运输经营许可证》；（10）：本项目不接受联合体投标（提供非联合体承诺书）。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西安市新城大院省政府5号楼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029-63912778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陕西省西安市市本级陕西省西安市高新区团结南路西安国际人才大厦A座1508室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董丽英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13389230971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陕西省机关事务服务中心</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联系人：董丽英</w:t>
      </w:r>
    </w:p>
    <w:p>
      <w:pPr>
        <w:pStyle w:val="null3"/>
      </w:pPr>
      <w:r>
        <w:rPr>
          <w:rFonts w:ascii="仿宋_GB2312" w:hAnsi="仿宋_GB2312" w:cs="仿宋_GB2312" w:eastAsia="仿宋_GB2312"/>
        </w:rPr>
        <w:t>联系电话：13389230971</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按照服务路线及发车时间租赁通勤班车一批，数量8辆。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省直机关通勤班车租赁服务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标的名称：省直机关通勤班车租赁服务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采购内容：通勤班车租赁服务一批，数量8辆。</w:t>
            </w:r>
          </w:p>
          <w:p>
            <w:pPr>
              <w:pStyle w:val="null3"/>
            </w:pP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1.通勤车行驶8条路线及发车时间：</w:t>
            </w:r>
          </w:p>
          <w:p>
            <w:pPr>
              <w:pStyle w:val="null3"/>
            </w:pPr>
            <w:r>
              <w:rPr>
                <w:rFonts w:ascii="仿宋_GB2312" w:hAnsi="仿宋_GB2312" w:cs="仿宋_GB2312" w:eastAsia="仿宋_GB2312"/>
                <w:sz w:val="21"/>
              </w:rPr>
              <w:t>(1)7:00雁塔区长仪路8号--雁塔南路69号--育才路41号，18:00反向行驶；</w:t>
            </w:r>
          </w:p>
          <w:p>
            <w:pPr>
              <w:pStyle w:val="null3"/>
            </w:pPr>
            <w:r>
              <w:rPr>
                <w:rFonts w:ascii="仿宋_GB2312" w:hAnsi="仿宋_GB2312" w:cs="仿宋_GB2312" w:eastAsia="仿宋_GB2312"/>
                <w:sz w:val="21"/>
              </w:rPr>
              <w:t>(2)6:50雁塔区长仪路8号--新城广场，18:10反向行驶；</w:t>
            </w:r>
          </w:p>
          <w:p>
            <w:pPr>
              <w:pStyle w:val="null3"/>
            </w:pPr>
            <w:r>
              <w:rPr>
                <w:rFonts w:ascii="仿宋_GB2312" w:hAnsi="仿宋_GB2312" w:cs="仿宋_GB2312" w:eastAsia="仿宋_GB2312"/>
                <w:sz w:val="21"/>
              </w:rPr>
              <w:t>(3)7:00雁塔区长仪路8号--新城广场，18:10反向行驶；</w:t>
            </w:r>
          </w:p>
          <w:p>
            <w:pPr>
              <w:pStyle w:val="null3"/>
            </w:pPr>
            <w:r>
              <w:rPr>
                <w:rFonts w:ascii="仿宋_GB2312" w:hAnsi="仿宋_GB2312" w:cs="仿宋_GB2312" w:eastAsia="仿宋_GB2312"/>
                <w:sz w:val="21"/>
              </w:rPr>
              <w:t>(4)7:00开元路南段69号--省体育场东门--二环南路东段388号--育才路41号，18:00反向行驶；</w:t>
            </w:r>
          </w:p>
          <w:p>
            <w:pPr>
              <w:pStyle w:val="null3"/>
            </w:pPr>
            <w:r>
              <w:rPr>
                <w:rFonts w:ascii="仿宋_GB2312" w:hAnsi="仿宋_GB2312" w:cs="仿宋_GB2312" w:eastAsia="仿宋_GB2312"/>
                <w:sz w:val="21"/>
              </w:rPr>
              <w:t>(5)7:00开元路南段69号--北新街，18:10反向行驶；</w:t>
            </w:r>
          </w:p>
          <w:p>
            <w:pPr>
              <w:pStyle w:val="null3"/>
            </w:pPr>
            <w:r>
              <w:rPr>
                <w:rFonts w:ascii="仿宋_GB2312" w:hAnsi="仿宋_GB2312" w:cs="仿宋_GB2312" w:eastAsia="仿宋_GB2312"/>
                <w:sz w:val="21"/>
              </w:rPr>
              <w:t>(6)7:10桃园南路38号--水司十字--南关正街109号--二环南路东段388号--育才路41号，18:00反向行驶；</w:t>
            </w:r>
          </w:p>
          <w:p>
            <w:pPr>
              <w:pStyle w:val="null3"/>
            </w:pPr>
            <w:r>
              <w:rPr>
                <w:rFonts w:ascii="仿宋_GB2312" w:hAnsi="仿宋_GB2312" w:cs="仿宋_GB2312" w:eastAsia="仿宋_GB2312"/>
                <w:sz w:val="21"/>
              </w:rPr>
              <w:t>(7)7:00雁塔南路69号--南关正街109号，18:00反向行驶；</w:t>
            </w:r>
          </w:p>
          <w:p>
            <w:pPr>
              <w:pStyle w:val="null3"/>
            </w:pPr>
            <w:r>
              <w:rPr>
                <w:rFonts w:ascii="仿宋_GB2312" w:hAnsi="仿宋_GB2312" w:cs="仿宋_GB2312" w:eastAsia="仿宋_GB2312"/>
                <w:sz w:val="21"/>
              </w:rPr>
              <w:t>(8)7:00桃园南路38号--丰镐西路252号--北新街，18:10由新城广场出发，反向行驶。</w:t>
            </w:r>
          </w:p>
          <w:p>
            <w:pPr>
              <w:pStyle w:val="null3"/>
            </w:pPr>
            <w:r>
              <w:rPr>
                <w:rFonts w:ascii="仿宋_GB2312" w:hAnsi="仿宋_GB2312" w:cs="仿宋_GB2312" w:eastAsia="仿宋_GB2312"/>
                <w:sz w:val="21"/>
              </w:rPr>
              <w:t>2.车辆情况</w:t>
            </w:r>
          </w:p>
          <w:p>
            <w:pPr>
              <w:pStyle w:val="null3"/>
            </w:pPr>
            <w:r>
              <w:rPr>
                <w:rFonts w:ascii="仿宋_GB2312" w:hAnsi="仿宋_GB2312" w:cs="仿宋_GB2312" w:eastAsia="仿宋_GB2312"/>
                <w:sz w:val="21"/>
              </w:rPr>
              <w:t>设备齐全、车况良好、运行安全可靠、证件齐全、核载不低于47人的车辆。乙方为甲方提供通勤车8辆。车内配置标准：暖气、空调、脚踏座椅、配备安全带。</w:t>
            </w:r>
          </w:p>
          <w:p>
            <w:pPr>
              <w:pStyle w:val="null3"/>
            </w:pPr>
            <w:r>
              <w:rPr>
                <w:rFonts w:ascii="仿宋_GB2312" w:hAnsi="仿宋_GB2312" w:cs="仿宋_GB2312" w:eastAsia="仿宋_GB2312"/>
                <w:sz w:val="21"/>
              </w:rPr>
              <w:t>3.服务期限：合同服务期限1年，到期考评合格后，双方按约定签订总计不超过3年的通勤车租赁服务合同。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以磋商文件和最终签订合同为准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以磋商文件和最终签订合同为准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以磋商文件和最终签订合同为准。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合同服务期限1年，到期考评合格后，双方按约定签订总计不超过3年的通勤车租赁服务合同。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单位根据有关服务规范规定，不定期对服务方的服务进行检查或考核，承包人须无条件的接受采购人的各类考核或检查；若审查不通过或服务不合格，承包人应在一定期限进行整改完善，以采购人要求的标准提供合格服务；若承包人在接受检查整改后，仍不能提供符合采购要求的合格服务，采购人有权按违约予以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结算方式采用按季度结算，分四次结清，乙方每季度末5个工作日内向甲方开具等额合法有效的租赁增值税普通发票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结算方式采用按季度结算，分四次结清，乙方每季度末5个工作日内向甲方开具等额合法有效的租赁增值税普通发票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结算方式采用按季度结算，分四次结清，乙方每季度末5个工作日内向甲方开具等额合法有效的租赁增值税普通发票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结算方式采用按季度结算，分四次结清，乙方每季度末5个工作日内向甲方开具等额合法有效的租赁增值税普通发票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成交供应商需在项目结束后提交纸质响应文件正本壹份、副本壹份、电子版壹份（U盘）（与线上电子投标文件一致，胶装后封面盖鲜章）。 2、纸质响应文件正副本分别胶装，纸质文件递交地点：陕西省西安市雁塔区团结南路12号西安国际人才大厦A座北1508室。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2025年3月1日至今任意一个月的纳税证明或完税证明，依法免税的单位应提供相关证明材料；（4）、社会保障资金缴纳证明：提供2025年3月1日至今任意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（8）、提供具有履行本合同所必需的专业技术能力的声明；（9）具有交管部门颁发的《中华人民共和国道路运输经营许可证》；（10）：本项目不接受联合体投标（提供非联合体承诺书）。</w:t>
            </w:r>
          </w:p>
        </w:tc>
        <w:tc>
          <w:tcPr>
            <w:tcW w:type="dxa" w:w="1661"/>
          </w:tcPr>
          <w:p>
            <w:pPr>
              <w:pStyle w:val="null3"/>
            </w:pPr>
            <w:r>
              <w:rPr>
                <w:rFonts w:ascii="仿宋_GB2312" w:hAnsi="仿宋_GB2312" w:cs="仿宋_GB2312" w:eastAsia="仿宋_GB2312"/>
              </w:rPr>
              <w:t>拒绝政府采购领域商业贿赂承诺书.docx 供应商应提交的相关资格证明材料 投标人关联承诺书.docx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其他符合性审核</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3.响应报价是否未超过采购预算。</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针对本项目的整体服务方案，内容包含： 1.总体服务方案； 2.针对本项目的重难点分析及解决方案； 3.行车安全检查与隐患治理措施； 4.岗位培训考核方案（包括但不限于岗前培训、定期岗位培训、考核等）。5.行车安全与卫生：包括但不限于GPS全球卫星定位系统、车内监控、空调、防火设施、医用急救箱、安全锤、清洁、消毒用品等。 二、评审标准：每项4分，每有一项未提供扣4分；每有一处有缺陷扣1分。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为保障本项目顺利实施采取的服务保障措施:1.针对通勤车司机具有详细的管理制度：包含但不限于岗位制度，内控制度，人员管理制度，“三检”(出车前、行驶中、收车后)制度。 2.针对服务车辆有定期的车辆检查、维修、保养方案及措施，方案具体完整，并有详细的台账记录。 二、评审标准：每项满分5分，每有一项未提供扣5分；每有一处有缺陷扣1分。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服务人员组成</w:t>
            </w:r>
          </w:p>
        </w:tc>
        <w:tc>
          <w:tcPr>
            <w:tcW w:type="dxa" w:w="2492"/>
          </w:tcPr>
          <w:p>
            <w:pPr>
              <w:pStyle w:val="null3"/>
            </w:pPr>
            <w:r>
              <w:rPr>
                <w:rFonts w:ascii="仿宋_GB2312" w:hAnsi="仿宋_GB2312" w:cs="仿宋_GB2312" w:eastAsia="仿宋_GB2312"/>
              </w:rPr>
              <w:t>供应商所提供驾驶人员数量不得少于8人，提供8人得基本分8分，每增加1人加1分，最高得12分。供应商需提供人员配备清单，岗位职责及分工，提供所有驾驶人员身份证、从业资格证、本单位社保缴纳证明、驾驶证（A证）复印件或扫描件加盖公章；提供不全或未提供扣相应的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车辆情况</w:t>
            </w:r>
          </w:p>
        </w:tc>
        <w:tc>
          <w:tcPr>
            <w:tcW w:type="dxa" w:w="2492"/>
          </w:tcPr>
          <w:p>
            <w:pPr>
              <w:pStyle w:val="null3"/>
            </w:pPr>
            <w:r>
              <w:rPr>
                <w:rFonts w:ascii="仿宋_GB2312" w:hAnsi="仿宋_GB2312" w:cs="仿宋_GB2312" w:eastAsia="仿宋_GB2312"/>
              </w:rPr>
              <w:t>1.供应商拥有47座(含)以上车辆8辆得基本分8分，每增加1辆加1分，最高得12分; 供应商需提供车辆配备清单（说明车辆数量、型号、车况等）、本单位产权证、行驶证、交强险、商业险保单、车辆年检标志、固定的维修保养记录证明资料等的复印件或扫描件加盖公章；提供不全或未提供扣相应的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供应商提供2023年1月至今承接过类似项目业绩，每提供一个业绩得2分，最高的10分。 供应商需提供有效业绩合同，时间以落款时间为准。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针对本项目提供应急措施保障，内容包含： 1. 车辆行驶中突发故障、恶劣天气行驶、突发交通事故和突发交通管制等的应急预案； 2. 违法事件：防盗、打架斗殴、寻衅滋事的应急预案； 3.调度及应急人员安排； 4.应急响应时效； 5.重要接待、重大活动、各类迎检工作的应急预案。 二、评审标准 每项提供完整可行得2分；每有一处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供应商获得税务部门颁发的企业纳税信用A级评价证书的得3分，纳税信用B级评价证书的得1分,其他不得分（网上公示的，须提供截图）。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供应商提供安全、准时、可行等的服务承诺，评标委员会根据承诺赋分，满分3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为2026年度运营费用，满足磋商文件要求且最后报价最低的供应商的价格为磋商基准价，其价格分为满分。其他供应商的价格分统一按照下列公式计算：磋商报价得分=（磋商基准价/最后磋商报价）×价格权值。 保留小数点后两位，第三位四舍五入。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详见附件：投标人关联承诺书.docx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