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版本号：KY2026-3-07520260331001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职工食堂劳务外包项目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KY2026-3-075</w:t>
      </w:r>
      <w:r>
        <w:br/>
      </w:r>
      <w:r>
        <w:br/>
      </w:r>
      <w:r>
        <w:br/>
      </w:r>
    </w:p>
    <w:p>
      <w:pPr>
        <w:pStyle w:val="null3"/>
        <w:jc w:val="center"/>
        <w:outlineLvl w:val="2"/>
      </w:pPr>
      <w:r>
        <w:rPr>
          <w:rFonts w:ascii="仿宋_GB2312" w:hAnsi="仿宋_GB2312" w:cs="仿宋_GB2312" w:eastAsia="仿宋_GB2312"/>
          <w:sz w:val="28"/>
          <w:b/>
        </w:rPr>
        <w:t>陕西省高速公路收费中心</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陕西省高速公路收费中心</w:t>
      </w:r>
      <w:r>
        <w:rPr>
          <w:rFonts w:ascii="仿宋_GB2312" w:hAnsi="仿宋_GB2312" w:cs="仿宋_GB2312" w:eastAsia="仿宋_GB2312"/>
        </w:rPr>
        <w:t>委托，拟对</w:t>
      </w:r>
      <w:r>
        <w:rPr>
          <w:rFonts w:ascii="仿宋_GB2312" w:hAnsi="仿宋_GB2312" w:cs="仿宋_GB2312" w:eastAsia="仿宋_GB2312"/>
        </w:rPr>
        <w:t>职工食堂劳务外包项目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KY2026-3-075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职工食堂劳务外包项目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职工食堂劳务外包项目，简要技术要求：详见磋商文件第三部分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采购包1（职工食堂劳务外包项目）：属于专门面向中小企业采购。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7、法定代表人授权书及被授权人身份证：法定代表人授权书及被授权人身份证复印件。（法定代表人直接投标只须提交其身份证明书）</w:t>
      </w:r>
    </w:p>
    <w:p>
      <w:pPr>
        <w:pStyle w:val="null3"/>
      </w:pPr>
      <w:r>
        <w:rPr>
          <w:rFonts w:ascii="仿宋_GB2312" w:hAnsi="仿宋_GB2312" w:cs="仿宋_GB2312" w:eastAsia="仿宋_GB2312"/>
        </w:rPr>
        <w:t>8、中小企业声明函：提供中小企业声明函（本项目为专门面向中小微企业采购项目）</w:t>
      </w:r>
    </w:p>
    <w:p>
      <w:pPr>
        <w:pStyle w:val="null3"/>
      </w:pPr>
      <w:r>
        <w:rPr>
          <w:rFonts w:ascii="仿宋_GB2312" w:hAnsi="仿宋_GB2312" w:cs="仿宋_GB2312" w:eastAsia="仿宋_GB2312"/>
        </w:rPr>
        <w:t>9、食品经营许可证：提供有效的食品经营许可证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陕西省高速公路收费中心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梅老师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029-86531251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谢婷婷、王琦、戈迪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采购包1：736,800.00元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银行账号：86113010750181502001028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代理服务费收费标准：1、交费金额参照国家计委颁布的《招标代理服务收费管理暂行办法》（计价格[2002]1980号）及发改办价格[2003]857号文件的规定标准的90%计取。2、本次中标服务费按服务计取。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陕西省高速公路收费中心</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陕西省高速公路收费中心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陕西省高速公路收费中心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项目履约验收主体为采购人，验收工作流程为供应商提出验收申请之日起30日内，由采购人组织验收工作。本项目为一次性验收，采购人严格按照招标文件、投标文件和合同约定内容进行履约验收。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联系人：谢婷婷、王琦、戈迪</w:t>
      </w:r>
    </w:p>
    <w:p>
      <w:pPr>
        <w:pStyle w:val="null3"/>
      </w:pPr>
      <w:r>
        <w:rPr>
          <w:rFonts w:ascii="仿宋_GB2312" w:hAnsi="仿宋_GB2312" w:cs="仿宋_GB2312" w:eastAsia="仿宋_GB2312"/>
        </w:rPr>
        <w:t>联系电话：029-81206622-832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职工食堂劳务外包项目，简要技术要求：详见磋商文件第三部分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736,800.00</w:t>
      </w:r>
    </w:p>
    <w:p>
      <w:pPr>
        <w:pStyle w:val="null3"/>
      </w:pPr>
      <w:r>
        <w:rPr>
          <w:rFonts w:ascii="仿宋_GB2312" w:hAnsi="仿宋_GB2312" w:cs="仿宋_GB2312" w:eastAsia="仿宋_GB2312"/>
        </w:rPr>
        <w:t>采购包最高限价（元）: 736,800.00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职工食堂劳务外包项目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736,800.00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标的名称：职工食堂劳务外包项目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b/>
              </w:rPr>
              <w:t>一、</w:t>
            </w:r>
            <w:r>
              <w:rPr>
                <w:rFonts w:ascii="仿宋_GB2312" w:hAnsi="仿宋_GB2312" w:cs="仿宋_GB2312" w:eastAsia="仿宋_GB2312"/>
                <w:b/>
              </w:rPr>
              <w:t>服务内容</w:t>
            </w:r>
          </w:p>
          <w:p>
            <w:pPr>
              <w:pStyle w:val="null3"/>
              <w:jc w:val="left"/>
            </w:pPr>
            <w:r>
              <w:rPr>
                <w:rFonts w:ascii="仿宋_GB2312" w:hAnsi="仿宋_GB2312" w:cs="仿宋_GB2312" w:eastAsia="仿宋_GB2312"/>
              </w:rPr>
              <w:t>1.供应商需确保饭菜的营养、卫生、质量和安全，保障中心职工正常就餐；供应商负责制作供应中心的日常工作餐和根据中心需要服务单位提供的会餐等其他餐饮服务。</w:t>
            </w:r>
          </w:p>
          <w:p>
            <w:pPr>
              <w:pStyle w:val="null3"/>
              <w:jc w:val="left"/>
            </w:pPr>
            <w:r>
              <w:rPr>
                <w:rFonts w:ascii="仿宋_GB2312" w:hAnsi="仿宋_GB2312" w:cs="仿宋_GB2312" w:eastAsia="仿宋_GB2312"/>
              </w:rPr>
              <w:t>2.用餐时间(周一至周日)早餐:07:30-08:30；午餐:11:30-12:30；晚餐:17:30-18:30。供应商必须按照中心提供的时间安排员工就餐。</w:t>
            </w:r>
          </w:p>
          <w:p>
            <w:pPr>
              <w:pStyle w:val="null3"/>
              <w:jc w:val="left"/>
            </w:pPr>
            <w:r>
              <w:rPr>
                <w:rFonts w:ascii="仿宋_GB2312" w:hAnsi="仿宋_GB2312" w:cs="仿宋_GB2312" w:eastAsia="仿宋_GB2312"/>
              </w:rPr>
              <w:t>3.用餐标准，供应商制作提供的工作餐标准为米饭、面食、小吃、主荤菜、荤菜、素菜、汤类，保证每餐饭菜为现场即时制作，制作品类不低于以下标准。早餐:两种稀饭(或豆浆、胡辣汤、油茶等）+牛奶+两小菜+小吃+杂粮（不少于3种）;午餐：两荤+两素+面食+小吃+汤类+杂粮+水果;晚餐标准:三菜+稀饭+馒头或花卷。</w:t>
            </w:r>
          </w:p>
          <w:p>
            <w:pPr>
              <w:pStyle w:val="null3"/>
            </w:pPr>
            <w:r>
              <w:rPr>
                <w:rFonts w:ascii="仿宋_GB2312" w:hAnsi="仿宋_GB2312" w:cs="仿宋_GB2312" w:eastAsia="仿宋_GB2312"/>
              </w:rPr>
              <w:t>4.双方本着节约实惠原则，每周四由供应商向中心提出下周建议食谱，供应商须按照中心确定的食谱制作。</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b/>
              </w:rPr>
              <w:t>二、</w:t>
            </w:r>
            <w:r>
              <w:rPr>
                <w:rFonts w:ascii="仿宋_GB2312" w:hAnsi="仿宋_GB2312" w:cs="仿宋_GB2312" w:eastAsia="仿宋_GB2312"/>
                <w:b/>
              </w:rPr>
              <w:t>人员配置及要求：</w:t>
            </w:r>
          </w:p>
          <w:p>
            <w:pPr>
              <w:pStyle w:val="null3"/>
              <w:jc w:val="left"/>
            </w:pPr>
            <w:r>
              <w:rPr>
                <w:rFonts w:ascii="仿宋_GB2312" w:hAnsi="仿宋_GB2312" w:cs="仿宋_GB2312" w:eastAsia="仿宋_GB2312"/>
              </w:rPr>
              <w:t>1.供应商所有工作人员需持有健康证，并按国家规定定期体检。患有《食品安全法实施条例》第二十三条所列疾病的人员(痢疾、伤寒、甲型病毒性肝炎、戊型病毒性肝炎等消化道传染病），不得从事接触直接入口食品的工作。患有活动性肺结核、化脓性或者渗出性皮肤病等有碍食品安全疾病的，不得从事餐厅的各项工作。</w:t>
            </w:r>
          </w:p>
          <w:p>
            <w:pPr>
              <w:pStyle w:val="null3"/>
              <w:jc w:val="left"/>
            </w:pPr>
            <w:r>
              <w:rPr>
                <w:rFonts w:ascii="仿宋_GB2312" w:hAnsi="仿宋_GB2312" w:cs="仿宋_GB2312" w:eastAsia="仿宋_GB2312"/>
              </w:rPr>
              <w:t>2.供应商人员应建立每日晨检制度。有发热、腹泻、皮肤伤口或感染、咽部炎症等有碍食品安全病症的人员，应立即离开工作岗位，待查明原因并治愈后，方可重新上岗。</w:t>
            </w:r>
          </w:p>
          <w:p>
            <w:pPr>
              <w:pStyle w:val="null3"/>
              <w:jc w:val="left"/>
            </w:pPr>
            <w:r>
              <w:rPr>
                <w:rFonts w:ascii="仿宋_GB2312" w:hAnsi="仿宋_GB2312" w:cs="仿宋_GB2312" w:eastAsia="仿宋_GB2312"/>
              </w:rPr>
              <w:t>3.中心餐厅满足200人以上用餐要求，供应商派出食堂人员不少于12名。其中:主厨2名、面点师2名、小工3名、洗碗工2人、保洁人员2人、服务员1名。服务员应具有大专及以上学历，有较强的组织协调能力，能掌握电脑的基本操作、熟悉餐饮的接待礼仪。供应商人员在负责制作餐饮主副食外，还得负责餐厅、厨房、库房等职工食堂区域内的卫生清理清洁工作，并符合卫生要求。</w:t>
            </w:r>
          </w:p>
          <w:p>
            <w:pPr>
              <w:pStyle w:val="null3"/>
              <w:jc w:val="left"/>
            </w:pPr>
            <w:r>
              <w:rPr>
                <w:rFonts w:ascii="仿宋_GB2312" w:hAnsi="仿宋_GB2312" w:cs="仿宋_GB2312" w:eastAsia="仿宋_GB2312"/>
              </w:rPr>
              <w:t>4.供应商应经中心管理部门同意后，定期（至少每半年）对主厨进行轮换调整，在保障职工基本用餐的同时，调整口味搭配，提升服务质量。</w:t>
            </w:r>
          </w:p>
          <w:p>
            <w:pPr>
              <w:pStyle w:val="null3"/>
            </w:pPr>
            <w:r>
              <w:rPr>
                <w:rFonts w:ascii="仿宋_GB2312" w:hAnsi="仿宋_GB2312" w:cs="仿宋_GB2312" w:eastAsia="仿宋_GB2312"/>
              </w:rPr>
              <w:t>5.供应商派遣的食堂人员须经中心相关管理部门同意后，方可上岗；同时应制定花名册，提供身份证复印件、健康证，报中心相关管理部门备案，如有人员变动应及时登记备案。中心认为供应商派遣的人员不称职，供应商应在接到书面或口头通知后5个工作日内予以调整。人员应聘、录用、离职等管理档案规范，手续齐全。</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b/>
              </w:rPr>
              <w:t>三、</w:t>
            </w:r>
            <w:r>
              <w:rPr>
                <w:rFonts w:ascii="仿宋_GB2312" w:hAnsi="仿宋_GB2312" w:cs="仿宋_GB2312" w:eastAsia="仿宋_GB2312"/>
                <w:b/>
              </w:rPr>
              <w:t>食品安全及要求：</w:t>
            </w:r>
          </w:p>
          <w:p>
            <w:pPr>
              <w:pStyle w:val="null3"/>
              <w:jc w:val="left"/>
            </w:pPr>
            <w:r>
              <w:rPr>
                <w:rFonts w:ascii="仿宋_GB2312" w:hAnsi="仿宋_GB2312" w:cs="仿宋_GB2312" w:eastAsia="仿宋_GB2312"/>
              </w:rPr>
              <w:t>1.中心不得采购《食品安全法》第二十八条规定禁止生产经营的食品和《农产品质量安全法》第三十三条规定不得销售的食用农产品。供应商要对中心采购食材进行查验、交接。</w:t>
            </w:r>
          </w:p>
          <w:p>
            <w:pPr>
              <w:pStyle w:val="null3"/>
              <w:jc w:val="left"/>
            </w:pPr>
            <w:r>
              <w:rPr>
                <w:rFonts w:ascii="仿宋_GB2312" w:hAnsi="仿宋_GB2312" w:cs="仿宋_GB2312" w:eastAsia="仿宋_GB2312"/>
              </w:rPr>
              <w:t>2.餐具清洗消毒水池应专用，与食品原料、清洁用具及接触非直接入口食品的工具、容器清洗水池分开。食用的洗涤剂、消毒剂应符合GB14930.2《食品工具、设备用洗涤卫生标准》和GB14930.2《食品工具、设备用洗涤消毒剂卫生标准》等有关食品安全标准和要求，消毒后的餐饮器具应符合GB14934《食(饮)具消毒卫生标准》规定。</w:t>
            </w:r>
          </w:p>
          <w:p>
            <w:pPr>
              <w:pStyle w:val="null3"/>
              <w:jc w:val="left"/>
            </w:pPr>
            <w:r>
              <w:rPr>
                <w:rFonts w:ascii="仿宋_GB2312" w:hAnsi="仿宋_GB2312" w:cs="仿宋_GB2312" w:eastAsia="仿宋_GB2312"/>
              </w:rPr>
              <w:t>3.供应商必须严格执行《中华人民共和国食品安全法》对餐厅的饭菜、食品质量负责，如因服务单位原因发生食源性食物中毒事故，应由服务单位负全责。</w:t>
            </w:r>
          </w:p>
          <w:p>
            <w:pPr>
              <w:pStyle w:val="null3"/>
            </w:pPr>
            <w:r>
              <w:rPr>
                <w:rFonts w:ascii="仿宋_GB2312" w:hAnsi="仿宋_GB2312" w:cs="仿宋_GB2312" w:eastAsia="仿宋_GB2312"/>
              </w:rPr>
              <w:t>4.供应商每餐供应的主副食品种，需留样保存48小时，并做好记录。</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b/>
              </w:rPr>
              <w:t>四、</w:t>
            </w:r>
            <w:r>
              <w:rPr>
                <w:rFonts w:ascii="仿宋_GB2312" w:hAnsi="仿宋_GB2312" w:cs="仿宋_GB2312" w:eastAsia="仿宋_GB2312"/>
                <w:b/>
              </w:rPr>
              <w:t>其他要求：</w:t>
            </w:r>
          </w:p>
          <w:p>
            <w:pPr>
              <w:pStyle w:val="null3"/>
              <w:jc w:val="left"/>
            </w:pPr>
            <w:r>
              <w:rPr>
                <w:rFonts w:ascii="仿宋_GB2312" w:hAnsi="仿宋_GB2312" w:cs="仿宋_GB2312" w:eastAsia="仿宋_GB2312"/>
              </w:rPr>
              <w:t>1.供应商的派遣人员应做到岗前安全培训</w:t>
            </w:r>
          </w:p>
          <w:p>
            <w:pPr>
              <w:pStyle w:val="null3"/>
              <w:jc w:val="left"/>
            </w:pPr>
            <w:r>
              <w:rPr>
                <w:rFonts w:ascii="仿宋_GB2312" w:hAnsi="仿宋_GB2312" w:cs="仿宋_GB2312" w:eastAsia="仿宋_GB2312"/>
              </w:rPr>
              <w:t>所有派驻职工食堂的工作人员上岗前，必须完成全覆盖、标准化的安全专项培训，确保熟练掌握</w:t>
            </w:r>
            <w:r>
              <w:rPr>
                <w:rFonts w:ascii="仿宋_GB2312" w:hAnsi="仿宋_GB2312" w:cs="仿宋_GB2312" w:eastAsia="仿宋_GB2312"/>
              </w:rPr>
              <w:t>“四懂四会” 核心要求、专项应急处置技能及应急救护与疏散规范，培训考核合格后方可上岗。</w:t>
            </w:r>
          </w:p>
          <w:p>
            <w:pPr>
              <w:pStyle w:val="null3"/>
              <w:jc w:val="left"/>
            </w:pPr>
            <w:r>
              <w:rPr>
                <w:rFonts w:ascii="仿宋_GB2312" w:hAnsi="仿宋_GB2312" w:cs="仿宋_GB2312" w:eastAsia="仿宋_GB2312"/>
              </w:rPr>
              <w:t>(1)“四懂”核心要求：一懂火灾危险性，了解厨房燃气泄漏、电路老化、油锅高温、易燃物品堆放等常见火灾隐患的成因及危害；二懂预防措施，掌握食材规范存储、设备定期检修、火源专人看管、易燃物隔离存放等火灾预防手段；三懂扑救方法，了解不同类型火灾（气体火灾、油类火灾、电气火灾等）的特性及对应扑救方式；四懂逃生路线，熟记职工食堂及所在建筑的紧急疏散通道、安全出口位置，明确疏散引导责任分工。</w:t>
            </w:r>
          </w:p>
          <w:p>
            <w:pPr>
              <w:pStyle w:val="null3"/>
              <w:jc w:val="left"/>
            </w:pPr>
            <w:r>
              <w:rPr>
                <w:rFonts w:ascii="仿宋_GB2312" w:hAnsi="仿宋_GB2312" w:cs="仿宋_GB2312" w:eastAsia="仿宋_GB2312"/>
              </w:rPr>
              <w:t>(2)“四会”实操技能：一会准确报警，掌握火警电话119 的拨打流程，能清晰说明火灾发生地点、起火部位、火势大小、有无人员被困及报警人联系方式；二会规范使用灭火器，熟悉食堂内配置的灭火器类型、存放位置、操作步骤（提、拔、握、压），能在安全范围内精准操作；三会扑救初起火灾，针对厨房常见的小火情（如灶台旁杂物起火、小型电器短路起火等），能运用正确方法快速处置，避免火势扩大；同时需熟练掌握用气安全规范，包括燃气管道、阀门、灶具的日常检查方法，以及燃气泄漏、油锅起火等专项处置技巧——燃气泄漏时，立即关闭阀门、开窗通风，严禁开关电器或使用明火，迅速疏散人员并上报；油锅起火时，立即关闭灶具火源，用锅盖覆盖窒息灭火或使用专用灭火毯处置，严禁用水直接扑救。</w:t>
            </w:r>
          </w:p>
          <w:p>
            <w:pPr>
              <w:pStyle w:val="null3"/>
              <w:jc w:val="left"/>
            </w:pPr>
            <w:r>
              <w:rPr>
                <w:rFonts w:ascii="仿宋_GB2312" w:hAnsi="仿宋_GB2312" w:cs="仿宋_GB2312" w:eastAsia="仿宋_GB2312"/>
              </w:rPr>
              <w:t>(3)应急救护与疏散：系统学习基础应急救护知识，包括烫伤、割伤、触电等常见工伤的初步处理方法，掌握心肺复苏（CPR）、止血包扎等基础急救技能；熟练掌握逃生疏散流程，明确疏散时的引导职责、人员清点方式、安全集结点位置，了解拥挤踩踏、浓烟逃生等场景的自我保护技巧；全面熟悉各类突发事件（如火灾、食品安全事故、设备故障、极端天气等）的应急处置规范，明确响应流程、责任分工及上报路径。</w:t>
            </w:r>
          </w:p>
          <w:p>
            <w:pPr>
              <w:pStyle w:val="null3"/>
              <w:jc w:val="left"/>
            </w:pPr>
            <w:r>
              <w:rPr>
                <w:rFonts w:ascii="仿宋_GB2312" w:hAnsi="仿宋_GB2312" w:cs="仿宋_GB2312" w:eastAsia="仿宋_GB2312"/>
              </w:rPr>
              <w:t>(4)后续安全培训：为强化安全意识、巩固实操技能，供应商需建立常态化安全培训机制，每季度至少组织1次安全专业培训，培训内容重点覆盖用电用气安全（含设备日常巡检、隐患排查、违规操作警示）、灭火器等消防器材的实操演练、各类突发事件的应急处置流程复盘等，培训后需留存签到表、培训课件、考核记录及现场影像资料，报中心相关管理部门备案。</w:t>
            </w:r>
          </w:p>
          <w:p>
            <w:pPr>
              <w:pStyle w:val="null3"/>
              <w:jc w:val="left"/>
            </w:pPr>
            <w:r>
              <w:rPr>
                <w:rFonts w:ascii="仿宋_GB2312" w:hAnsi="仿宋_GB2312" w:cs="仿宋_GB2312" w:eastAsia="仿宋_GB2312"/>
              </w:rPr>
              <w:t>2.供应商派遣人员在工作过程中造成自身伤害或第三方侵权、侵害的，由供应商处理，中心不负任何直接或间接责任；供应商派遣人员在中心造成的伤亡事故（含第三者责任），由供应商负责，中心不负任何直接或间接责任。</w:t>
            </w:r>
          </w:p>
          <w:p>
            <w:pPr>
              <w:pStyle w:val="null3"/>
            </w:pPr>
            <w:r>
              <w:rPr>
                <w:rFonts w:ascii="仿宋_GB2312" w:hAnsi="仿宋_GB2312" w:cs="仿宋_GB2312" w:eastAsia="仿宋_GB2312"/>
              </w:rPr>
              <w:t>3.供应商派遣人员发生劳动争议等问题均由供应商负责处理，中心不负任何直接或间接责任。</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b/>
              </w:rPr>
              <w:t>四、</w:t>
            </w:r>
            <w:r>
              <w:rPr>
                <w:rFonts w:ascii="仿宋_GB2312" w:hAnsi="仿宋_GB2312" w:cs="仿宋_GB2312" w:eastAsia="仿宋_GB2312"/>
                <w:b/>
              </w:rPr>
              <w:t>资产要求</w:t>
            </w:r>
            <w:r>
              <w:rPr>
                <w:rFonts w:ascii="仿宋_GB2312" w:hAnsi="仿宋_GB2312" w:cs="仿宋_GB2312" w:eastAsia="仿宋_GB2312"/>
                <w:b/>
              </w:rPr>
              <w:t>：</w:t>
            </w:r>
          </w:p>
          <w:p>
            <w:pPr>
              <w:pStyle w:val="null3"/>
              <w:jc w:val="left"/>
            </w:pPr>
            <w:r>
              <w:rPr>
                <w:rFonts w:ascii="仿宋_GB2312" w:hAnsi="仿宋_GB2312" w:cs="仿宋_GB2312" w:eastAsia="仿宋_GB2312"/>
              </w:rPr>
              <w:t>1.供应商不得利用中心的餐厅、水电等资源从事经营活动，不能改变其使用性质。</w:t>
            </w:r>
          </w:p>
          <w:p>
            <w:pPr>
              <w:pStyle w:val="null3"/>
            </w:pPr>
            <w:r>
              <w:rPr>
                <w:rFonts w:ascii="仿宋_GB2312" w:hAnsi="仿宋_GB2312" w:cs="仿宋_GB2312" w:eastAsia="仿宋_GB2312"/>
              </w:rPr>
              <w:t>2.如果发生因服务单位工作失职造成失窃事件、消防事故或其他财产损失和人身伤害，均由供应商承担相关经济和法律责任。</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b/>
              </w:rPr>
              <w:t>五、</w:t>
            </w:r>
            <w:r>
              <w:rPr>
                <w:rFonts w:ascii="仿宋_GB2312" w:hAnsi="仿宋_GB2312" w:cs="仿宋_GB2312" w:eastAsia="仿宋_GB2312"/>
                <w:b/>
              </w:rPr>
              <w:t>保密要求</w:t>
            </w:r>
            <w:r>
              <w:rPr>
                <w:rFonts w:ascii="仿宋_GB2312" w:hAnsi="仿宋_GB2312" w:cs="仿宋_GB2312" w:eastAsia="仿宋_GB2312"/>
                <w:b/>
              </w:rPr>
              <w:t>：</w:t>
            </w:r>
          </w:p>
          <w:p>
            <w:pPr>
              <w:pStyle w:val="null3"/>
            </w:pPr>
            <w:r>
              <w:rPr>
                <w:rFonts w:ascii="仿宋_GB2312" w:hAnsi="仿宋_GB2312" w:cs="仿宋_GB2312" w:eastAsia="仿宋_GB2312"/>
              </w:rPr>
              <w:t>项目实施过程中所收集、产生的所有与本项目相关的文档、资料，包括文字、图片、表格、数字等各种形式的所属权均归属省中心，供应商必须对所涉及的内容保密，供应商及服务人员应按照要求签署保密协议。</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b/>
              </w:rPr>
              <w:t>六、</w:t>
            </w:r>
            <w:r>
              <w:rPr>
                <w:rFonts w:ascii="仿宋_GB2312" w:hAnsi="仿宋_GB2312" w:cs="仿宋_GB2312" w:eastAsia="仿宋_GB2312"/>
                <w:b/>
              </w:rPr>
              <w:t>违约责任</w:t>
            </w:r>
            <w:r>
              <w:rPr>
                <w:rFonts w:ascii="仿宋_GB2312" w:hAnsi="仿宋_GB2312" w:cs="仿宋_GB2312" w:eastAsia="仿宋_GB2312"/>
                <w:b/>
              </w:rPr>
              <w:t>：</w:t>
            </w:r>
          </w:p>
          <w:p>
            <w:pPr>
              <w:pStyle w:val="null3"/>
              <w:jc w:val="left"/>
            </w:pPr>
            <w:r>
              <w:rPr>
                <w:rFonts w:ascii="仿宋_GB2312" w:hAnsi="仿宋_GB2312" w:cs="仿宋_GB2312" w:eastAsia="仿宋_GB2312"/>
              </w:rPr>
              <w:t>1.双方因其他原因提出解除合同时，必须提前90天通知对方，并进行协商。</w:t>
            </w:r>
          </w:p>
          <w:p>
            <w:pPr>
              <w:pStyle w:val="null3"/>
              <w:jc w:val="left"/>
            </w:pPr>
            <w:r>
              <w:rPr>
                <w:rFonts w:ascii="仿宋_GB2312" w:hAnsi="仿宋_GB2312" w:cs="仿宋_GB2312" w:eastAsia="仿宋_GB2312"/>
              </w:rPr>
              <w:t>2.因供应商原因未按时向采购人员工供餐而导致采购人工作受到较大影响的（不可抗力因素除外），供应商应承担采购人外购食品的费用，同时应按照合同总价款的5%向采购人支付违约金。</w:t>
            </w:r>
          </w:p>
          <w:p>
            <w:pPr>
              <w:pStyle w:val="null3"/>
              <w:jc w:val="left"/>
            </w:pPr>
            <w:r>
              <w:rPr>
                <w:rFonts w:ascii="仿宋_GB2312" w:hAnsi="仿宋_GB2312" w:cs="仿宋_GB2312" w:eastAsia="仿宋_GB2312"/>
              </w:rPr>
              <w:t xml:space="preserve"> </w:t>
            </w:r>
            <w:r>
              <w:rPr>
                <w:rFonts w:ascii="仿宋_GB2312" w:hAnsi="仿宋_GB2312" w:cs="仿宋_GB2312" w:eastAsia="仿宋_GB2312"/>
              </w:rPr>
              <w:t>3.因供应商原因产生食品安全问题或供应商员工不符合健康要求的，采购人有权解除合同，供应商应按照合同总价款的20%向采购人支付违约金。</w:t>
            </w:r>
          </w:p>
          <w:p>
            <w:pPr>
              <w:pStyle w:val="null3"/>
            </w:pPr>
            <w:r>
              <w:rPr>
                <w:rFonts w:ascii="仿宋_GB2312" w:hAnsi="仿宋_GB2312" w:cs="仿宋_GB2312" w:eastAsia="仿宋_GB2312"/>
              </w:rPr>
              <w:t>4.供应商如不能及时开具全额发票或采购人要求的保函，采购人有权延时付款且不承担违约责任，直至供应商开具全额发票或采购人要求的保函后再进行付款。</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b/>
              </w:rPr>
              <w:t>七、</w:t>
            </w:r>
            <w:r>
              <w:rPr>
                <w:rFonts w:ascii="仿宋_GB2312" w:hAnsi="仿宋_GB2312" w:cs="仿宋_GB2312" w:eastAsia="仿宋_GB2312"/>
                <w:b/>
              </w:rPr>
              <w:t>报价要求：</w:t>
            </w:r>
          </w:p>
          <w:p>
            <w:pPr>
              <w:pStyle w:val="null3"/>
              <w:ind w:firstLine="400"/>
              <w:jc w:val="left"/>
            </w:pPr>
            <w:r>
              <w:rPr>
                <w:rFonts w:ascii="仿宋_GB2312" w:hAnsi="仿宋_GB2312" w:cs="仿宋_GB2312" w:eastAsia="仿宋_GB2312"/>
              </w:rPr>
              <w:t>按照岗位设置，不少于</w:t>
            </w:r>
            <w:r>
              <w:rPr>
                <w:rFonts w:ascii="仿宋_GB2312" w:hAnsi="仿宋_GB2312" w:cs="仿宋_GB2312" w:eastAsia="仿宋_GB2312"/>
              </w:rPr>
              <w:t>12名服务人员的全部费用，包括人员工资、管理费、培训费、税金、利润、社会保险费等为完成本次招投标项目所发生的一切费用。以及依法缴纳员工养老、失业、医疗、工伤、纳税等保险，自行解决员工劳保、工资、福利、员工上下班交通及为完成服务所发生的一切费用等有关问题。</w:t>
            </w:r>
          </w:p>
          <w:p>
            <w:pPr>
              <w:pStyle w:val="null3"/>
              <w:ind w:firstLine="400"/>
              <w:jc w:val="left"/>
            </w:pPr>
            <w:r>
              <w:rPr>
                <w:rFonts w:ascii="仿宋_GB2312" w:hAnsi="仿宋_GB2312" w:cs="仿宋_GB2312" w:eastAsia="仿宋_GB2312"/>
              </w:rPr>
              <w:t>同时应综合考虑合同期内政策性费用调整的风险。供应商应考虑西安市最低工资标准及社保上调等因素，服务期限内不得以最低工资标准上调以及物价指数上涨等理由增加费用。</w:t>
            </w:r>
          </w:p>
          <w:p>
            <w:pPr>
              <w:pStyle w:val="null3"/>
              <w:ind w:firstLine="400"/>
              <w:jc w:val="left"/>
            </w:pPr>
            <w:r>
              <w:rPr>
                <w:rFonts w:ascii="仿宋_GB2312" w:hAnsi="仿宋_GB2312" w:cs="仿宋_GB2312" w:eastAsia="仿宋_GB2312"/>
              </w:rPr>
              <w:t>服务期间服务总费用不变，采购人无须另向服务单位支付合同约定之外的其它任何费用。</w:t>
            </w:r>
          </w:p>
          <w:p>
            <w:pPr>
              <w:pStyle w:val="null3"/>
            </w:pPr>
            <w:r>
              <w:rPr>
                <w:rFonts w:ascii="仿宋_GB2312" w:hAnsi="仿宋_GB2312" w:cs="仿宋_GB2312" w:eastAsia="仿宋_GB2312"/>
              </w:rPr>
              <w:t xml:space="preserve">        供应商须向采购人出具合法有效的发票，采购人进行支付结算。首次支付时供应商应开具全额发票。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服务时间：2026年7月1日至2027年6月30日。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陕西省高速公路收费中心</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项目履约验收主体为采购人，验收工作流程为供应商提出验收申请之日起30日内，由采购人组织验收工作。本项目为一次性验收，采购人严格按照招标文件、投标文件和合同约定内容进行履约验收。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并进入服务期后按月支付服务费，供应商按照合同约定每月完成服务并提交服务报告，经采购人审核后10个工作日内支付上月服务费，同时开具合法有效的合同金额全额发票，满足服务期的第一个月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合同签订生效并进入服务期后按月支付服务费，供应商按照合同约定每月完成服务并提交服务报告，经采购人审核后10个工作日内支付上月服务费，满足服务期的第二个月后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合同签订生效并进入服务期后按月支付服务费，供应商按照合同约定每月完成服务并提交服务报告，经采购人审核后10个工作日内支付上月服务费，满足服务期的第三个月后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合同签订生效并进入服务期后按月支付服务费，供应商按照合同约定每月完成服务并提交服务报告，经采购人审核后10个工作日内支付上月服务费，满足服务期的第四个月后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2026年12月申请年度最后一次支付时，供应商需提供剩余款项的有效银行保函，采购人一次性支付剩余款项，待到项目验收通过后采购人退还保函</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66.80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⑥《政府采购促进中小企业发展管理办法》（财库〔2020〕46号）； ⑦陕西省财政厅关于印发《陕西省中小企业政府采购信用融资办法》（陕财办采〔2018〕23号）； ⑧《关于进一步加大政府采购支持中小企业力度的通知》（财库〔2022〕19号）； ⑨《关于扩大政府采购支持绿色建材促进建筑品质提升政策实施范围的通知》（财库〔2022〕35号）； ⑩《关于推动解决政府采购异常低价问题的通知》财库〔2026〕2号； ⑪《国务院办公厅关于在政府采购中实施本国产品标准及相关政策的通知》国办发〔2025〕34号； ⑫若享受以上政策优惠的企业，提供相应声明函或品目范围内产品有效认证证书。如有最新颁布的政府采购政策，按最新的文件执行。 2、保证金的退还：自中标通知书发出之日起5个工作日内退还未中标人的投标保证金,自采购合同签订之日起5个工作日内退还中标人的投标保证金。合同签订后，中标人需将合同扫描件发送至指定联系人邮箱，邮箱地址为499094051@qq.com，并以邮件接收时间为退付的基准时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供应商资格条件证明文件.docx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提供中小企业声明函（本项目为专门面向中小微企业采购项目）</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食品经营许可证</w:t>
            </w:r>
          </w:p>
        </w:tc>
        <w:tc>
          <w:tcPr>
            <w:tcW w:type="dxa" w:w="3322"/>
          </w:tcPr>
          <w:p>
            <w:pPr>
              <w:pStyle w:val="null3"/>
            </w:pPr>
            <w:r>
              <w:rPr>
                <w:rFonts w:ascii="仿宋_GB2312" w:hAnsi="仿宋_GB2312" w:cs="仿宋_GB2312" w:eastAsia="仿宋_GB2312"/>
              </w:rPr>
              <w:t>提供有效的食品经营许可证</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服务内容及服务邀请应答表 商务应答表 供应商认为有必要说明的问题.docx 技术指标偏差表.docx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食品安全管理方案</w:t>
            </w:r>
          </w:p>
        </w:tc>
        <w:tc>
          <w:tcPr>
            <w:tcW w:type="dxa" w:w="2492"/>
          </w:tcPr>
          <w:p>
            <w:pPr>
              <w:pStyle w:val="null3"/>
            </w:pPr>
            <w:r>
              <w:rPr>
                <w:rFonts w:ascii="仿宋_GB2312" w:hAnsi="仿宋_GB2312" w:cs="仿宋_GB2312" w:eastAsia="仿宋_GB2312"/>
              </w:rPr>
              <w:t>供应商针对本项目提供食品安全管理方案，包括但不限于：①食品安全管理体系；②食品安全检查计划；③食品安全管理制度；④食品安全管理措施；每有一项缺项扣4分，每有一项内容中有1项缺陷，扣1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详细评审---食品安全管理方案.docx</w:t>
            </w:r>
          </w:p>
        </w:tc>
      </w:tr>
      <w:tr>
        <w:tc>
          <w:tcPr>
            <w:tcW w:type="dxa" w:w="831"/>
            <w:vMerge/>
          </w:tcPr>
          <w:p/>
        </w:tc>
        <w:tc>
          <w:tcPr>
            <w:tcW w:type="dxa" w:w="1661"/>
          </w:tcPr>
          <w:p>
            <w:pPr>
              <w:pStyle w:val="null3"/>
            </w:pPr>
            <w:r>
              <w:rPr>
                <w:rFonts w:ascii="仿宋_GB2312" w:hAnsi="仿宋_GB2312" w:cs="仿宋_GB2312" w:eastAsia="仿宋_GB2312"/>
              </w:rPr>
              <w:t>厨房设备使用管理方案</w:t>
            </w:r>
          </w:p>
        </w:tc>
        <w:tc>
          <w:tcPr>
            <w:tcW w:type="dxa" w:w="2492"/>
          </w:tcPr>
          <w:p>
            <w:pPr>
              <w:pStyle w:val="null3"/>
            </w:pPr>
            <w:r>
              <w:rPr>
                <w:rFonts w:ascii="仿宋_GB2312" w:hAnsi="仿宋_GB2312" w:cs="仿宋_GB2312" w:eastAsia="仿宋_GB2312"/>
              </w:rPr>
              <w:t>供应商针对本项目提供具体的厨房设备使用管理方案，包括但不限于：①厨房设备使用管理；②厨房设备安全使用；③餐具消毒管理等；每有一项缺项扣2分，每有一项内容中有1项缺陷，扣1分，扣完为止。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详细评审---厨房设备使用管理方案.docx</w:t>
            </w:r>
          </w:p>
        </w:tc>
      </w:tr>
      <w:tr>
        <w:tc>
          <w:tcPr>
            <w:tcW w:type="dxa" w:w="831"/>
            <w:vMerge/>
          </w:tcPr>
          <w:p/>
        </w:tc>
        <w:tc>
          <w:tcPr>
            <w:tcW w:type="dxa" w:w="1661"/>
          </w:tcPr>
          <w:p>
            <w:pPr>
              <w:pStyle w:val="null3"/>
            </w:pPr>
            <w:r>
              <w:rPr>
                <w:rFonts w:ascii="仿宋_GB2312" w:hAnsi="仿宋_GB2312" w:cs="仿宋_GB2312" w:eastAsia="仿宋_GB2312"/>
              </w:rPr>
              <w:t>配餐管理方案</w:t>
            </w:r>
          </w:p>
        </w:tc>
        <w:tc>
          <w:tcPr>
            <w:tcW w:type="dxa" w:w="2492"/>
          </w:tcPr>
          <w:p>
            <w:pPr>
              <w:pStyle w:val="null3"/>
            </w:pPr>
            <w:r>
              <w:rPr>
                <w:rFonts w:ascii="仿宋_GB2312" w:hAnsi="仿宋_GB2312" w:cs="仿宋_GB2312" w:eastAsia="仿宋_GB2312"/>
              </w:rPr>
              <w:t>供应商针对本项目提供以每周为周期的配餐管理方案，包括但不限于：①菜品种类、主食种类、小吃种类、汤品种类；②三餐配餐标准；每有一项缺项扣2分，每有一项内容中有1项缺陷，扣1分，扣完为止。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详细评审---配餐管理方案.docx</w:t>
            </w:r>
          </w:p>
        </w:tc>
      </w:tr>
      <w:tr>
        <w:tc>
          <w:tcPr>
            <w:tcW w:type="dxa" w:w="831"/>
            <w:vMerge/>
          </w:tcPr>
          <w:p/>
        </w:tc>
        <w:tc>
          <w:tcPr>
            <w:tcW w:type="dxa" w:w="1661"/>
          </w:tcPr>
          <w:p>
            <w:pPr>
              <w:pStyle w:val="null3"/>
            </w:pPr>
            <w:r>
              <w:rPr>
                <w:rFonts w:ascii="仿宋_GB2312" w:hAnsi="仿宋_GB2312" w:cs="仿宋_GB2312" w:eastAsia="仿宋_GB2312"/>
              </w:rPr>
              <w:t>食品质量管理方案</w:t>
            </w:r>
          </w:p>
        </w:tc>
        <w:tc>
          <w:tcPr>
            <w:tcW w:type="dxa" w:w="2492"/>
          </w:tcPr>
          <w:p>
            <w:pPr>
              <w:pStyle w:val="null3"/>
            </w:pPr>
            <w:r>
              <w:rPr>
                <w:rFonts w:ascii="仿宋_GB2312" w:hAnsi="仿宋_GB2312" w:cs="仿宋_GB2312" w:eastAsia="仿宋_GB2312"/>
              </w:rPr>
              <w:t>供应商针对本项目提供具体的食品质量管理方案，包括但不限于：①食材采购的计划；②食材的查验和登记；③食材交接后的保管；④保证食品质量的安全措施；每有一项缺项扣3分，每有一项内容中有1项缺陷，扣1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详细评审---食品质量管理方案.docx</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供应商拟配备不少于12人团队，其中其中:主厨2名、面点师2名、小工3名、洗碗工2人、保洁人员2人、服务员1名，均须具有有效期内的健康证。 1、主厨及面点师具有中式烹任师或中式面点师证件的，每提供一人计0.5分，满分2分； 备注：需提供供应商为以上人员缴纳的2025年1月至今任意一个月的社保缴纳证明或银行卡工资流水或劳动合同，未提供或提供不全不计分。 2、供应商针对本项目有专业服务团队（包括项目经理），人员管理方案详细具体，各岗位职责分工明确、搭配合理，团队成员具有岗位对应的工作经验，包括：①人员配备数量及清单；②管理组织架构；③人员职责与分工明确；④所配备工作人员身体健康和预防各种传染性疾病的证明（不限于体检报告等证明资料），每有一项缺项扣2分，每有一项内容中有1项缺陷，扣1分，扣完为止 。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详细评审---项目团队人员配备.docx</w:t>
            </w:r>
          </w:p>
        </w:tc>
      </w:tr>
      <w:tr>
        <w:tc>
          <w:tcPr>
            <w:tcW w:type="dxa" w:w="831"/>
            <w:vMerge/>
          </w:tcPr>
          <w:p/>
        </w:tc>
        <w:tc>
          <w:tcPr>
            <w:tcW w:type="dxa" w:w="1661"/>
          </w:tcPr>
          <w:p>
            <w:pPr>
              <w:pStyle w:val="null3"/>
            </w:pPr>
            <w:r>
              <w:rPr>
                <w:rFonts w:ascii="仿宋_GB2312" w:hAnsi="仿宋_GB2312" w:cs="仿宋_GB2312" w:eastAsia="仿宋_GB2312"/>
              </w:rPr>
              <w:t>食堂卫生管理方案</w:t>
            </w:r>
          </w:p>
        </w:tc>
        <w:tc>
          <w:tcPr>
            <w:tcW w:type="dxa" w:w="2492"/>
          </w:tcPr>
          <w:p>
            <w:pPr>
              <w:pStyle w:val="null3"/>
            </w:pPr>
            <w:r>
              <w:rPr>
                <w:rFonts w:ascii="仿宋_GB2312" w:hAnsi="仿宋_GB2312" w:cs="仿宋_GB2312" w:eastAsia="仿宋_GB2312"/>
              </w:rPr>
              <w:t>供应商针对本项目提供具体的食堂卫生管理方案，包括但不限于：①卫生清洁管理制度；②各区域（包括餐厅、厨房、库房等）卫生清洁服务内容；③卫生清洁检查登记；④卫生管理保障措施；每有一项缺项扣2分，每有一项内容中有1项缺陷，扣1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详细评审---食堂卫生管理方案.docx</w:t>
            </w:r>
          </w:p>
        </w:tc>
      </w:tr>
      <w:tr>
        <w:tc>
          <w:tcPr>
            <w:tcW w:type="dxa" w:w="831"/>
            <w:vMerge/>
          </w:tcPr>
          <w:p/>
        </w:tc>
        <w:tc>
          <w:tcPr>
            <w:tcW w:type="dxa" w:w="1661"/>
          </w:tcPr>
          <w:p>
            <w:pPr>
              <w:pStyle w:val="null3"/>
            </w:pPr>
            <w:r>
              <w:rPr>
                <w:rFonts w:ascii="仿宋_GB2312" w:hAnsi="仿宋_GB2312" w:cs="仿宋_GB2312" w:eastAsia="仿宋_GB2312"/>
              </w:rPr>
              <w:t>应急管理方案</w:t>
            </w:r>
          </w:p>
        </w:tc>
        <w:tc>
          <w:tcPr>
            <w:tcW w:type="dxa" w:w="2492"/>
          </w:tcPr>
          <w:p>
            <w:pPr>
              <w:pStyle w:val="null3"/>
            </w:pPr>
            <w:r>
              <w:rPr>
                <w:rFonts w:ascii="仿宋_GB2312" w:hAnsi="仿宋_GB2312" w:cs="仿宋_GB2312" w:eastAsia="仿宋_GB2312"/>
              </w:rPr>
              <w:t>供应商针对本项目提供具体的应急管理方案，包括但不限于：①停水、停电、停气应急预案；②食物中毒应急预案；③消防安全突发事件应急预案；④其它可能发生的事故应急预案；每有一项缺项扣2分，每有一项内容中有1项缺陷，扣1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详细评审---应急管理方案.docx</w:t>
            </w:r>
          </w:p>
        </w:tc>
      </w:tr>
      <w:tr>
        <w:tc>
          <w:tcPr>
            <w:tcW w:type="dxa" w:w="831"/>
            <w:vMerge/>
          </w:tcPr>
          <w:p/>
        </w:tc>
        <w:tc>
          <w:tcPr>
            <w:tcW w:type="dxa" w:w="1661"/>
          </w:tcPr>
          <w:p>
            <w:pPr>
              <w:pStyle w:val="null3"/>
            </w:pPr>
            <w:r>
              <w:rPr>
                <w:rFonts w:ascii="仿宋_GB2312" w:hAnsi="仿宋_GB2312" w:cs="仿宋_GB2312" w:eastAsia="仿宋_GB2312"/>
              </w:rPr>
              <w:t>内部服务管理方案</w:t>
            </w:r>
          </w:p>
        </w:tc>
        <w:tc>
          <w:tcPr>
            <w:tcW w:type="dxa" w:w="2492"/>
          </w:tcPr>
          <w:p>
            <w:pPr>
              <w:pStyle w:val="null3"/>
            </w:pPr>
            <w:r>
              <w:rPr>
                <w:rFonts w:ascii="仿宋_GB2312" w:hAnsi="仿宋_GB2312" w:cs="仿宋_GB2312" w:eastAsia="仿宋_GB2312"/>
              </w:rPr>
              <w:t>供应商针对本项目提供具体的内部服务管理方案，包括但不限于：①上岗人员管理制度；②日常管理制度； ③服务标准考核制度；④内部监督考核制度；每有一项缺项扣1分，每有一项内容中有1项缺陷，扣0.5分，扣完为止。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详细评审---内部服务管理方案.docx</w:t>
            </w:r>
          </w:p>
        </w:tc>
      </w:tr>
      <w:tr>
        <w:tc>
          <w:tcPr>
            <w:tcW w:type="dxa" w:w="831"/>
            <w:vMerge/>
          </w:tcPr>
          <w:p/>
        </w:tc>
        <w:tc>
          <w:tcPr>
            <w:tcW w:type="dxa" w:w="1661"/>
          </w:tcPr>
          <w:p>
            <w:pPr>
              <w:pStyle w:val="null3"/>
            </w:pPr>
            <w:r>
              <w:rPr>
                <w:rFonts w:ascii="仿宋_GB2312" w:hAnsi="仿宋_GB2312" w:cs="仿宋_GB2312" w:eastAsia="仿宋_GB2312"/>
              </w:rPr>
              <w:t>劳务纠纷处理方案</w:t>
            </w:r>
          </w:p>
        </w:tc>
        <w:tc>
          <w:tcPr>
            <w:tcW w:type="dxa" w:w="2492"/>
          </w:tcPr>
          <w:p>
            <w:pPr>
              <w:pStyle w:val="null3"/>
            </w:pPr>
            <w:r>
              <w:rPr>
                <w:rFonts w:ascii="仿宋_GB2312" w:hAnsi="仿宋_GB2312" w:cs="仿宋_GB2312" w:eastAsia="仿宋_GB2312"/>
              </w:rPr>
              <w:t>供应商针对本项目提供具体的劳务纠纷处理方案，包括但不限于：①劳务纠纷的处理办法和形式；②防止劳务纠纷的保障措施；每有一项缺项扣2分，每有一项内容中有1项缺陷，扣1分，扣完为止。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详细评审---劳务纠纷处理方案.docx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1.提供供应商有效期内的ISO9001 质量管理体系认证证书计1分。 2.提供供应商有效期内的ISO14001 环境管理体系认证证书计1分 3.提供供应商有效期内的ISO 45001 职业健康安全管理体系认证证书计1分 4.提供供应商有效期内的食品安全管理体系认证证书计1分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详细评审---企业实力.docx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供应商2023年至今（以签订时间为准）承担过同类型业绩的，每项得1分，最高得4分。注：需提供业绩合同扫描件，加盖公章。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详见附件：详细评审---厨房设备使用管理方案.docx</w:t>
      </w:r>
    </w:p>
    <w:p>
      <w:pPr>
        <w:pStyle w:val="null3"/>
        <w:ind w:firstLine="960"/>
      </w:pPr>
      <w:r>
        <w:rPr>
          <w:rFonts w:ascii="仿宋_GB2312" w:hAnsi="仿宋_GB2312" w:cs="仿宋_GB2312" w:eastAsia="仿宋_GB2312"/>
        </w:rPr>
        <w:t>详见附件：详细评审---劳务纠纷处理方案.docx</w:t>
      </w:r>
    </w:p>
    <w:p>
      <w:pPr>
        <w:pStyle w:val="null3"/>
        <w:ind w:firstLine="960"/>
      </w:pPr>
      <w:r>
        <w:rPr>
          <w:rFonts w:ascii="仿宋_GB2312" w:hAnsi="仿宋_GB2312" w:cs="仿宋_GB2312" w:eastAsia="仿宋_GB2312"/>
        </w:rPr>
        <w:t>详见附件：详细评审---内部服务管理方案.docx</w:t>
      </w:r>
    </w:p>
    <w:p>
      <w:pPr>
        <w:pStyle w:val="null3"/>
        <w:ind w:firstLine="960"/>
      </w:pPr>
      <w:r>
        <w:rPr>
          <w:rFonts w:ascii="仿宋_GB2312" w:hAnsi="仿宋_GB2312" w:cs="仿宋_GB2312" w:eastAsia="仿宋_GB2312"/>
        </w:rPr>
        <w:t>详见附件：详细评审---配餐管理方案.docx</w:t>
      </w:r>
    </w:p>
    <w:p>
      <w:pPr>
        <w:pStyle w:val="null3"/>
        <w:ind w:firstLine="960"/>
      </w:pPr>
      <w:r>
        <w:rPr>
          <w:rFonts w:ascii="仿宋_GB2312" w:hAnsi="仿宋_GB2312" w:cs="仿宋_GB2312" w:eastAsia="仿宋_GB2312"/>
        </w:rPr>
        <w:t>详见附件：详细评审---企业实力.docx</w:t>
      </w:r>
    </w:p>
    <w:p>
      <w:pPr>
        <w:pStyle w:val="null3"/>
        <w:ind w:firstLine="960"/>
      </w:pPr>
      <w:r>
        <w:rPr>
          <w:rFonts w:ascii="仿宋_GB2312" w:hAnsi="仿宋_GB2312" w:cs="仿宋_GB2312" w:eastAsia="仿宋_GB2312"/>
        </w:rPr>
        <w:t>详见附件：详细评审---食品安全管理方案.docx</w:t>
      </w:r>
    </w:p>
    <w:p>
      <w:pPr>
        <w:pStyle w:val="null3"/>
        <w:ind w:firstLine="960"/>
      </w:pPr>
      <w:r>
        <w:rPr>
          <w:rFonts w:ascii="仿宋_GB2312" w:hAnsi="仿宋_GB2312" w:cs="仿宋_GB2312" w:eastAsia="仿宋_GB2312"/>
        </w:rPr>
        <w:t>详见附件：详细评审---食品质量管理方案.docx</w:t>
      </w:r>
    </w:p>
    <w:p>
      <w:pPr>
        <w:pStyle w:val="null3"/>
        <w:ind w:firstLine="960"/>
      </w:pPr>
      <w:r>
        <w:rPr>
          <w:rFonts w:ascii="仿宋_GB2312" w:hAnsi="仿宋_GB2312" w:cs="仿宋_GB2312" w:eastAsia="仿宋_GB2312"/>
        </w:rPr>
        <w:t>详见附件：详细评审---食堂卫生管理方案.docx</w:t>
      </w:r>
    </w:p>
    <w:p>
      <w:pPr>
        <w:pStyle w:val="null3"/>
        <w:ind w:firstLine="960"/>
      </w:pPr>
      <w:r>
        <w:rPr>
          <w:rFonts w:ascii="仿宋_GB2312" w:hAnsi="仿宋_GB2312" w:cs="仿宋_GB2312" w:eastAsia="仿宋_GB2312"/>
        </w:rPr>
        <w:t>详见附件：详细评审---项目团队人员配备.docx</w:t>
      </w:r>
    </w:p>
    <w:p>
      <w:pPr>
        <w:pStyle w:val="null3"/>
        <w:ind w:firstLine="960"/>
      </w:pPr>
      <w:r>
        <w:rPr>
          <w:rFonts w:ascii="仿宋_GB2312" w:hAnsi="仿宋_GB2312" w:cs="仿宋_GB2312" w:eastAsia="仿宋_GB2312"/>
        </w:rPr>
        <w:t>详见附件：详细评审---业绩.docx</w:t>
      </w:r>
    </w:p>
    <w:p>
      <w:pPr>
        <w:pStyle w:val="null3"/>
        <w:ind w:firstLine="960"/>
      </w:pPr>
      <w:r>
        <w:rPr>
          <w:rFonts w:ascii="仿宋_GB2312" w:hAnsi="仿宋_GB2312" w:cs="仿宋_GB2312" w:eastAsia="仿宋_GB2312"/>
        </w:rPr>
        <w:t>详见附件：详细评审---应急管理方案.docx</w:t>
      </w:r>
    </w:p>
    <w:p>
      <w:pPr>
        <w:pStyle w:val="null3"/>
        <w:ind w:firstLine="960"/>
      </w:pPr>
      <w:r>
        <w:rPr>
          <w:rFonts w:ascii="仿宋_GB2312" w:hAnsi="仿宋_GB2312" w:cs="仿宋_GB2312" w:eastAsia="仿宋_GB2312"/>
        </w:rPr>
        <w:t>详见附件：供应商认为有必要说明的问题.docx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