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AD23AB">
      <w:pPr>
        <w:pStyle w:val="3"/>
        <w:keepNext w:val="0"/>
        <w:keepLines w:val="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</w:rPr>
        <w:t>合同范本（仅供参考）</w:t>
      </w:r>
    </w:p>
    <w:p w14:paraId="40380D27">
      <w:pPr>
        <w:spacing w:line="360" w:lineRule="auto"/>
        <w:ind w:firstLine="482" w:firstLineChars="2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b/>
          <w:color w:val="FF0000"/>
          <w:sz w:val="24"/>
          <w:highlight w:val="none"/>
        </w:rPr>
        <w:t xml:space="preserve"> 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sz w:val="24"/>
          <w:highlight w:val="none"/>
        </w:rPr>
        <w:t>（以下简称甲方）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sz w:val="24"/>
          <w:highlight w:val="none"/>
        </w:rPr>
        <w:t>采购，在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陕西省高速公路收费中心</w:t>
      </w:r>
      <w:r>
        <w:rPr>
          <w:rFonts w:hint="eastAsia" w:ascii="仿宋" w:hAnsi="仿宋" w:eastAsia="仿宋" w:cs="仿宋"/>
          <w:sz w:val="24"/>
          <w:highlight w:val="none"/>
        </w:rPr>
        <w:t>的监督管理下，由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陕西开源招标有限公司</w:t>
      </w:r>
      <w:r>
        <w:rPr>
          <w:rFonts w:hint="eastAsia" w:ascii="仿宋" w:hAnsi="仿宋" w:eastAsia="仿宋" w:cs="仿宋"/>
          <w:sz w:val="24"/>
          <w:highlight w:val="none"/>
        </w:rPr>
        <w:t>组织采购，选定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sz w:val="24"/>
          <w:highlight w:val="none"/>
        </w:rPr>
        <w:t xml:space="preserve"> (以下简称乙方）为该项目成交供应商。依据《中华人民共和国民法典》和《中华人民共和国政府采购法》，经甲、乙双方共同协商，按下述条款和条件签署本合同。</w:t>
      </w:r>
    </w:p>
    <w:p w14:paraId="23489E98">
      <w:pPr>
        <w:spacing w:line="360" w:lineRule="auto"/>
        <w:rPr>
          <w:rFonts w:hint="eastAsia" w:ascii="仿宋" w:hAnsi="仿宋" w:eastAsia="仿宋" w:cs="仿宋"/>
          <w:b/>
          <w:sz w:val="24"/>
          <w:highlight w:val="none"/>
        </w:rPr>
      </w:pPr>
      <w:r>
        <w:rPr>
          <w:rFonts w:hint="eastAsia" w:ascii="仿宋" w:hAnsi="仿宋" w:eastAsia="仿宋" w:cs="仿宋"/>
          <w:b/>
          <w:sz w:val="24"/>
          <w:highlight w:val="none"/>
        </w:rPr>
        <w:t>一、合同内容</w:t>
      </w:r>
    </w:p>
    <w:p w14:paraId="3954DC8D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职工食堂劳务外包</w:t>
      </w:r>
    </w:p>
    <w:p w14:paraId="2E8C8209">
      <w:pPr>
        <w:spacing w:line="360" w:lineRule="auto"/>
        <w:rPr>
          <w:rFonts w:hint="eastAsia" w:ascii="仿宋" w:hAnsi="仿宋" w:eastAsia="仿宋" w:cs="仿宋"/>
          <w:b/>
          <w:sz w:val="24"/>
          <w:highlight w:val="none"/>
        </w:rPr>
      </w:pPr>
      <w:r>
        <w:rPr>
          <w:rFonts w:hint="eastAsia" w:ascii="仿宋" w:hAnsi="仿宋" w:eastAsia="仿宋" w:cs="仿宋"/>
          <w:b/>
          <w:sz w:val="24"/>
          <w:highlight w:val="none"/>
        </w:rPr>
        <w:t>二、合同价格</w:t>
      </w:r>
    </w:p>
    <w:p w14:paraId="644A3FA6">
      <w:pPr>
        <w:spacing w:line="360" w:lineRule="auto"/>
        <w:ind w:left="420" w:leftChars="2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合同总价：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人民币       元整（¥         元） </w:t>
      </w:r>
    </w:p>
    <w:p w14:paraId="5F335983">
      <w:pPr>
        <w:spacing w:line="360" w:lineRule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说明：</w:t>
      </w:r>
    </w:p>
    <w:p w14:paraId="3F7092E4">
      <w:pPr>
        <w:numPr>
          <w:ilvl w:val="0"/>
          <w:numId w:val="1"/>
        </w:num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合同总价包含完成本项目的所有费用。</w:t>
      </w:r>
    </w:p>
    <w:p w14:paraId="03E2AAAC">
      <w:pPr>
        <w:numPr>
          <w:ilvl w:val="0"/>
          <w:numId w:val="1"/>
        </w:num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合同总价一次包死，不受市场价格变化的影响，并作为结算的依据。</w:t>
      </w:r>
    </w:p>
    <w:p w14:paraId="173A7948">
      <w:pPr>
        <w:spacing w:line="360" w:lineRule="auto"/>
        <w:rPr>
          <w:rFonts w:hint="eastAsia" w:ascii="仿宋" w:hAnsi="仿宋" w:eastAsia="仿宋" w:cs="仿宋"/>
          <w:b/>
          <w:sz w:val="24"/>
          <w:highlight w:val="none"/>
        </w:rPr>
      </w:pPr>
      <w:r>
        <w:rPr>
          <w:rFonts w:hint="eastAsia" w:ascii="仿宋" w:hAnsi="仿宋" w:eastAsia="仿宋" w:cs="仿宋"/>
          <w:b/>
          <w:sz w:val="24"/>
          <w:highlight w:val="none"/>
        </w:rPr>
        <w:t>三、合同款项支付</w:t>
      </w:r>
    </w:p>
    <w:p w14:paraId="7387E02B">
      <w:pPr>
        <w:tabs>
          <w:tab w:val="left" w:pos="840"/>
        </w:tabs>
        <w:spacing w:line="440" w:lineRule="exact"/>
        <w:ind w:firstLine="566" w:firstLineChars="236"/>
        <w:rPr>
          <w:rFonts w:hint="eastAsia" w:ascii="仿宋" w:hAnsi="仿宋" w:eastAsia="仿宋" w:cs="仿宋"/>
          <w:color w:val="FF0000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1、结算单位：</w:t>
      </w:r>
    </w:p>
    <w:p w14:paraId="79476E09">
      <w:pPr>
        <w:spacing w:line="440" w:lineRule="exact"/>
        <w:ind w:firstLine="566" w:firstLineChars="236"/>
        <w:rPr>
          <w:rFonts w:hint="eastAsia" w:ascii="仿宋" w:hAnsi="仿宋" w:eastAsia="仿宋" w:cs="仿宋"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sz w:val="24"/>
          <w:highlight w:val="none"/>
        </w:rPr>
        <w:t>2、付款方式：</w:t>
      </w:r>
    </w:p>
    <w:p w14:paraId="1D50EBCE">
      <w:pPr>
        <w:spacing w:line="360" w:lineRule="auto"/>
        <w:rPr>
          <w:rFonts w:hint="eastAsia" w:ascii="仿宋" w:hAnsi="仿宋" w:eastAsia="仿宋" w:cs="仿宋"/>
          <w:b/>
          <w:sz w:val="24"/>
          <w:highlight w:val="none"/>
        </w:rPr>
      </w:pPr>
      <w:r>
        <w:rPr>
          <w:rFonts w:hint="eastAsia" w:ascii="仿宋" w:hAnsi="仿宋" w:eastAsia="仿宋" w:cs="仿宋"/>
          <w:b/>
          <w:sz w:val="24"/>
          <w:highlight w:val="none"/>
        </w:rPr>
        <w:t>四、服务条件</w:t>
      </w:r>
    </w:p>
    <w:p w14:paraId="7F882680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（一）项目实施地点：陕西省高速公路收费中心</w:t>
      </w:r>
    </w:p>
    <w:p w14:paraId="6DA65CC4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sz w:val="24"/>
          <w:highlight w:val="none"/>
        </w:rPr>
        <w:t>（二）服务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期限</w:t>
      </w:r>
      <w:r>
        <w:rPr>
          <w:rFonts w:hint="eastAsia" w:ascii="仿宋" w:hAnsi="仿宋" w:eastAsia="仿宋" w:cs="仿宋"/>
          <w:sz w:val="24"/>
          <w:highlight w:val="none"/>
        </w:rPr>
        <w:t>：</w:t>
      </w:r>
    </w:p>
    <w:p w14:paraId="75C93962">
      <w:pPr>
        <w:spacing w:line="360" w:lineRule="auto"/>
        <w:rPr>
          <w:rFonts w:hint="eastAsia" w:ascii="仿宋" w:hAnsi="仿宋" w:eastAsia="仿宋" w:cs="仿宋"/>
          <w:b/>
          <w:sz w:val="24"/>
          <w:highlight w:val="none"/>
        </w:rPr>
      </w:pPr>
      <w:r>
        <w:rPr>
          <w:rFonts w:hint="eastAsia" w:ascii="仿宋" w:hAnsi="仿宋" w:eastAsia="仿宋" w:cs="仿宋"/>
          <w:b/>
          <w:sz w:val="24"/>
          <w:highlight w:val="none"/>
        </w:rPr>
        <w:t>五、技术服务</w:t>
      </w:r>
    </w:p>
    <w:p w14:paraId="69A32D4D">
      <w:pPr>
        <w:spacing w:line="360" w:lineRule="auto"/>
        <w:ind w:firstLine="482" w:firstLineChars="200"/>
        <w:rPr>
          <w:rFonts w:hint="eastAsia" w:ascii="仿宋" w:hAnsi="仿宋" w:eastAsia="仿宋" w:cs="仿宋"/>
          <w:b/>
          <w:sz w:val="24"/>
          <w:highlight w:val="none"/>
        </w:rPr>
      </w:pPr>
      <w:r>
        <w:rPr>
          <w:rFonts w:hint="eastAsia" w:ascii="仿宋" w:hAnsi="仿宋" w:eastAsia="仿宋" w:cs="仿宋"/>
          <w:b/>
          <w:sz w:val="24"/>
          <w:highlight w:val="none"/>
        </w:rPr>
        <w:t>（一）技术资料：</w:t>
      </w:r>
    </w:p>
    <w:p w14:paraId="4EC2533F">
      <w:pPr>
        <w:spacing w:line="360" w:lineRule="auto"/>
        <w:ind w:firstLine="482" w:firstLineChars="2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b/>
          <w:sz w:val="24"/>
          <w:highlight w:val="none"/>
        </w:rPr>
        <w:t>（二）人员培训：</w:t>
      </w:r>
    </w:p>
    <w:p w14:paraId="41C8CF04">
      <w:pPr>
        <w:spacing w:line="360" w:lineRule="auto"/>
        <w:ind w:firstLine="482" w:firstLineChars="200"/>
        <w:rPr>
          <w:rFonts w:hint="eastAsia" w:ascii="仿宋" w:hAnsi="仿宋" w:eastAsia="仿宋" w:cs="仿宋"/>
          <w:b/>
          <w:sz w:val="24"/>
          <w:highlight w:val="none"/>
        </w:rPr>
      </w:pPr>
      <w:r>
        <w:rPr>
          <w:rFonts w:hint="eastAsia" w:ascii="仿宋" w:hAnsi="仿宋" w:eastAsia="仿宋" w:cs="仿宋"/>
          <w:b/>
          <w:sz w:val="24"/>
          <w:highlight w:val="none"/>
        </w:rPr>
        <w:t>（三）服务承诺：</w:t>
      </w:r>
    </w:p>
    <w:p w14:paraId="71431C66">
      <w:pPr>
        <w:spacing w:line="360" w:lineRule="auto"/>
        <w:rPr>
          <w:rFonts w:hint="eastAsia" w:ascii="仿宋" w:hAnsi="仿宋" w:eastAsia="仿宋" w:cs="仿宋"/>
          <w:b/>
          <w:sz w:val="24"/>
          <w:highlight w:val="none"/>
        </w:rPr>
      </w:pPr>
      <w:r>
        <w:rPr>
          <w:rFonts w:hint="eastAsia" w:ascii="仿宋" w:hAnsi="仿宋" w:eastAsia="仿宋" w:cs="仿宋"/>
          <w:b/>
          <w:sz w:val="24"/>
          <w:highlight w:val="none"/>
        </w:rPr>
        <w:t>六、违约责任</w:t>
      </w:r>
    </w:p>
    <w:p w14:paraId="13A3E310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（一）按《中华人民共和国民法典》中的相关条款执行。</w:t>
      </w:r>
    </w:p>
    <w:p w14:paraId="7AC0D84E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（二）未按合同要求的提供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服务</w:t>
      </w:r>
      <w:r>
        <w:rPr>
          <w:rFonts w:hint="eastAsia" w:ascii="仿宋" w:hAnsi="仿宋" w:eastAsia="仿宋" w:cs="仿宋"/>
          <w:sz w:val="24"/>
          <w:highlight w:val="none"/>
        </w:rPr>
        <w:t>或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服务</w:t>
      </w:r>
      <w:r>
        <w:rPr>
          <w:rFonts w:hint="eastAsia" w:ascii="仿宋" w:hAnsi="仿宋" w:eastAsia="仿宋" w:cs="仿宋"/>
          <w:sz w:val="24"/>
          <w:highlight w:val="none"/>
        </w:rPr>
        <w:t>质量不能满足技术要求，采购人有权终止合同，甚至对供方违约行为进行追究。</w:t>
      </w:r>
    </w:p>
    <w:p w14:paraId="12D93E67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（三）如有纠纷，双方友好协商解决，协商不成时可诉讼到甲方所在地人民法院解决。</w:t>
      </w:r>
    </w:p>
    <w:p w14:paraId="54592640">
      <w:pPr>
        <w:spacing w:line="360" w:lineRule="auto"/>
        <w:rPr>
          <w:rFonts w:hint="eastAsia" w:ascii="仿宋" w:hAnsi="仿宋" w:eastAsia="仿宋" w:cs="仿宋"/>
          <w:b/>
          <w:sz w:val="24"/>
          <w:highlight w:val="none"/>
        </w:rPr>
      </w:pPr>
      <w:r>
        <w:rPr>
          <w:rFonts w:hint="eastAsia" w:ascii="仿宋" w:hAnsi="仿宋" w:eastAsia="仿宋" w:cs="仿宋"/>
          <w:b/>
          <w:sz w:val="24"/>
          <w:highlight w:val="none"/>
        </w:rPr>
        <w:t>七、验收</w:t>
      </w:r>
    </w:p>
    <w:p w14:paraId="1DA29A14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项目达到使用条件时由采购人负责组织验收或者邀请有关专家、质检机构、采购代理机构共同进行验收,验收费用由成交供应商支付(备注：如有验收须向采购代理机构支付金额2000-3000元不等)；验收合格须交接项目实施的全部资料，并填写政府采购项目验收报告单。验收须以合同、磋商文件及响应文件、澄清、及国家相应的标准、规范等为依据。</w:t>
      </w:r>
    </w:p>
    <w:p w14:paraId="3C0578A5">
      <w:pPr>
        <w:spacing w:line="360" w:lineRule="auto"/>
        <w:rPr>
          <w:rFonts w:hint="eastAsia" w:ascii="仿宋" w:hAnsi="仿宋" w:eastAsia="仿宋" w:cs="仿宋"/>
          <w:b/>
          <w:sz w:val="24"/>
          <w:highlight w:val="none"/>
        </w:rPr>
      </w:pPr>
      <w:r>
        <w:rPr>
          <w:rFonts w:hint="eastAsia" w:ascii="仿宋" w:hAnsi="仿宋" w:eastAsia="仿宋" w:cs="仿宋"/>
          <w:b/>
          <w:sz w:val="24"/>
          <w:highlight w:val="none"/>
        </w:rPr>
        <w:t>八、其他事项</w:t>
      </w:r>
    </w:p>
    <w:p w14:paraId="3D461B07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（一）陕西省高速公路收费中心在合同的履行期间以及履行期后，可以随时检查项目的执行情况，对采购标准、采购内容进行调查核实，并对发现的问题进行处理。</w:t>
      </w:r>
    </w:p>
    <w:p w14:paraId="7DB41F11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（二）本合同一式六份，甲方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sz w:val="24"/>
          <w:highlight w:val="none"/>
        </w:rPr>
        <w:t>四份，乙方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</w:t>
      </w:r>
      <w:r>
        <w:rPr>
          <w:rFonts w:hint="eastAsia" w:ascii="仿宋" w:hAnsi="仿宋" w:eastAsia="仿宋" w:cs="仿宋"/>
          <w:sz w:val="24"/>
          <w:highlight w:val="none"/>
        </w:rPr>
        <w:t>一份，采购代理机构一份，甲乙双方签字盖章后生效。</w:t>
      </w:r>
    </w:p>
    <w:p w14:paraId="23DE9118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（三）</w:t>
      </w:r>
      <w:r>
        <w:rPr>
          <w:rFonts w:hint="eastAsia" w:ascii="仿宋" w:hAnsi="仿宋" w:eastAsia="仿宋" w:cs="仿宋"/>
          <w:bCs/>
          <w:sz w:val="24"/>
          <w:highlight w:val="none"/>
        </w:rPr>
        <w:t>磋商文件、响应文件也是合同的组成部分，合同中未约定的以磋商文件、响应文件为准。</w:t>
      </w:r>
    </w:p>
    <w:p w14:paraId="39E20869">
      <w:pPr>
        <w:spacing w:line="360" w:lineRule="auto"/>
        <w:ind w:firstLine="600" w:firstLineChars="25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 xml:space="preserve">合同签订地点：   </w:t>
      </w:r>
    </w:p>
    <w:p w14:paraId="0E016615">
      <w:pPr>
        <w:spacing w:line="360" w:lineRule="auto"/>
        <w:ind w:firstLine="600" w:firstLineChars="25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合同签订时间：    年   月    日</w:t>
      </w:r>
    </w:p>
    <w:p w14:paraId="571F3696">
      <w:pPr>
        <w:spacing w:line="360" w:lineRule="auto"/>
        <w:rPr>
          <w:rFonts w:hint="eastAsia" w:ascii="仿宋" w:hAnsi="仿宋" w:eastAsia="仿宋" w:cs="仿宋"/>
          <w:sz w:val="24"/>
          <w:highlight w:val="none"/>
        </w:rPr>
      </w:pPr>
    </w:p>
    <w:p w14:paraId="6796B6DC">
      <w:pPr>
        <w:spacing w:line="360" w:lineRule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甲    方                           乙    方</w:t>
      </w:r>
    </w:p>
    <w:p w14:paraId="773F4084">
      <w:pPr>
        <w:spacing w:line="360" w:lineRule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 xml:space="preserve">单位名称：         </w:t>
      </w:r>
      <w:r>
        <w:rPr>
          <w:rFonts w:hint="eastAsia" w:ascii="仿宋" w:hAnsi="仿宋" w:eastAsia="仿宋" w:cs="仿宋"/>
          <w:sz w:val="24"/>
          <w:highlight w:val="none"/>
        </w:rPr>
        <w:tab/>
      </w:r>
      <w:r>
        <w:rPr>
          <w:rFonts w:hint="eastAsia" w:ascii="仿宋" w:hAnsi="仿宋" w:eastAsia="仿宋" w:cs="仿宋"/>
          <w:sz w:val="24"/>
          <w:highlight w:val="none"/>
        </w:rPr>
        <w:tab/>
      </w:r>
      <w:r>
        <w:rPr>
          <w:rFonts w:hint="eastAsia" w:ascii="仿宋" w:hAnsi="仿宋" w:eastAsia="仿宋" w:cs="仿宋"/>
          <w:sz w:val="24"/>
          <w:highlight w:val="none"/>
        </w:rPr>
        <w:tab/>
      </w:r>
      <w:r>
        <w:rPr>
          <w:rFonts w:hint="eastAsia" w:ascii="仿宋" w:hAnsi="仿宋" w:eastAsia="仿宋" w:cs="仿宋"/>
          <w:sz w:val="24"/>
          <w:highlight w:val="none"/>
        </w:rPr>
        <w:tab/>
      </w:r>
      <w:r>
        <w:rPr>
          <w:rFonts w:hint="eastAsia" w:ascii="仿宋" w:hAnsi="仿宋" w:eastAsia="仿宋" w:cs="仿宋"/>
          <w:sz w:val="24"/>
          <w:highlight w:val="none"/>
        </w:rPr>
        <w:t xml:space="preserve">   单位名称： </w:t>
      </w:r>
    </w:p>
    <w:p w14:paraId="2E1D34E9">
      <w:pPr>
        <w:spacing w:line="360" w:lineRule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 xml:space="preserve">地   址：  </w:t>
      </w:r>
      <w:r>
        <w:rPr>
          <w:rFonts w:hint="eastAsia" w:ascii="仿宋" w:hAnsi="仿宋" w:eastAsia="仿宋" w:cs="仿宋"/>
          <w:sz w:val="24"/>
          <w:highlight w:val="none"/>
        </w:rPr>
        <w:tab/>
      </w:r>
      <w:r>
        <w:rPr>
          <w:rFonts w:hint="eastAsia" w:ascii="仿宋" w:hAnsi="仿宋" w:eastAsia="仿宋" w:cs="仿宋"/>
          <w:sz w:val="24"/>
          <w:highlight w:val="none"/>
        </w:rPr>
        <w:t xml:space="preserve">       </w:t>
      </w:r>
      <w:r>
        <w:rPr>
          <w:rFonts w:hint="eastAsia" w:ascii="仿宋" w:hAnsi="仿宋" w:eastAsia="仿宋" w:cs="仿宋"/>
          <w:sz w:val="24"/>
          <w:highlight w:val="none"/>
        </w:rPr>
        <w:tab/>
      </w:r>
      <w:r>
        <w:rPr>
          <w:rFonts w:hint="eastAsia" w:ascii="仿宋" w:hAnsi="仿宋" w:eastAsia="仿宋" w:cs="仿宋"/>
          <w:sz w:val="24"/>
          <w:highlight w:val="none"/>
        </w:rPr>
        <w:tab/>
      </w:r>
      <w:r>
        <w:rPr>
          <w:rFonts w:hint="eastAsia" w:ascii="仿宋" w:hAnsi="仿宋" w:eastAsia="仿宋" w:cs="仿宋"/>
          <w:sz w:val="24"/>
          <w:highlight w:val="none"/>
        </w:rPr>
        <w:tab/>
      </w:r>
      <w:r>
        <w:rPr>
          <w:rFonts w:hint="eastAsia" w:ascii="仿宋" w:hAnsi="仿宋" w:eastAsia="仿宋" w:cs="仿宋"/>
          <w:sz w:val="24"/>
          <w:highlight w:val="none"/>
        </w:rPr>
        <w:tab/>
      </w:r>
      <w:r>
        <w:rPr>
          <w:rFonts w:hint="eastAsia" w:ascii="仿宋" w:hAnsi="仿宋" w:eastAsia="仿宋" w:cs="仿宋"/>
          <w:sz w:val="24"/>
          <w:highlight w:val="none"/>
        </w:rPr>
        <w:t>地    址：</w:t>
      </w:r>
    </w:p>
    <w:p w14:paraId="650EC8DF">
      <w:pPr>
        <w:spacing w:line="360" w:lineRule="auto"/>
        <w:rPr>
          <w:rFonts w:hint="eastAsia" w:ascii="仿宋" w:hAnsi="仿宋" w:eastAsia="仿宋" w:cs="仿宋"/>
          <w:sz w:val="24"/>
          <w:highlight w:val="none"/>
        </w:rPr>
      </w:pPr>
    </w:p>
    <w:p w14:paraId="29A53C37">
      <w:pPr>
        <w:spacing w:line="360" w:lineRule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 xml:space="preserve">法人代表：                         法人代表： </w:t>
      </w:r>
    </w:p>
    <w:p w14:paraId="7D7F994F">
      <w:pPr>
        <w:spacing w:line="360" w:lineRule="auto"/>
        <w:rPr>
          <w:rFonts w:hint="eastAsia" w:ascii="仿宋" w:hAnsi="仿宋" w:eastAsia="仿宋" w:cs="仿宋"/>
          <w:sz w:val="24"/>
          <w:highlight w:val="none"/>
        </w:rPr>
      </w:pPr>
    </w:p>
    <w:p w14:paraId="0364B4AD">
      <w:pPr>
        <w:spacing w:line="360" w:lineRule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 xml:space="preserve">联系电话：               </w:t>
      </w:r>
      <w:r>
        <w:rPr>
          <w:rFonts w:hint="eastAsia" w:ascii="仿宋" w:hAnsi="仿宋" w:eastAsia="仿宋" w:cs="仿宋"/>
          <w:sz w:val="24"/>
          <w:highlight w:val="none"/>
        </w:rPr>
        <w:tab/>
      </w:r>
      <w:r>
        <w:rPr>
          <w:rFonts w:hint="eastAsia" w:ascii="仿宋" w:hAnsi="仿宋" w:eastAsia="仿宋" w:cs="仿宋"/>
          <w:sz w:val="24"/>
          <w:highlight w:val="none"/>
        </w:rPr>
        <w:tab/>
      </w:r>
      <w:r>
        <w:rPr>
          <w:rFonts w:hint="eastAsia" w:ascii="仿宋" w:hAnsi="仿宋" w:eastAsia="仿宋" w:cs="仿宋"/>
          <w:sz w:val="24"/>
          <w:highlight w:val="none"/>
        </w:rPr>
        <w:tab/>
      </w:r>
      <w:r>
        <w:rPr>
          <w:rFonts w:hint="eastAsia" w:ascii="仿宋" w:hAnsi="仿宋" w:eastAsia="仿宋" w:cs="仿宋"/>
          <w:sz w:val="24"/>
          <w:highlight w:val="none"/>
        </w:rPr>
        <w:t xml:space="preserve">联系电话： </w:t>
      </w:r>
    </w:p>
    <w:p w14:paraId="779AE983">
      <w:pPr>
        <w:spacing w:line="360" w:lineRule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 xml:space="preserve">开 户 行：         </w:t>
      </w:r>
      <w:r>
        <w:rPr>
          <w:rFonts w:hint="eastAsia" w:ascii="仿宋" w:hAnsi="仿宋" w:eastAsia="仿宋" w:cs="仿宋"/>
          <w:sz w:val="24"/>
          <w:highlight w:val="none"/>
        </w:rPr>
        <w:tab/>
      </w:r>
      <w:r>
        <w:rPr>
          <w:rFonts w:hint="eastAsia" w:ascii="仿宋" w:hAnsi="仿宋" w:eastAsia="仿宋" w:cs="仿宋"/>
          <w:sz w:val="24"/>
          <w:highlight w:val="none"/>
        </w:rPr>
        <w:tab/>
      </w:r>
      <w:r>
        <w:rPr>
          <w:rFonts w:hint="eastAsia" w:ascii="仿宋" w:hAnsi="仿宋" w:eastAsia="仿宋" w:cs="仿宋"/>
          <w:sz w:val="24"/>
          <w:highlight w:val="none"/>
        </w:rPr>
        <w:tab/>
      </w:r>
      <w:r>
        <w:rPr>
          <w:rFonts w:hint="eastAsia" w:ascii="仿宋" w:hAnsi="仿宋" w:eastAsia="仿宋" w:cs="仿宋"/>
          <w:sz w:val="24"/>
          <w:highlight w:val="none"/>
        </w:rPr>
        <w:tab/>
      </w:r>
      <w:r>
        <w:rPr>
          <w:rFonts w:hint="eastAsia" w:ascii="仿宋" w:hAnsi="仿宋" w:eastAsia="仿宋" w:cs="仿宋"/>
          <w:sz w:val="24"/>
          <w:highlight w:val="none"/>
        </w:rPr>
        <w:tab/>
      </w:r>
      <w:r>
        <w:rPr>
          <w:rFonts w:hint="eastAsia" w:ascii="仿宋" w:hAnsi="仿宋" w:eastAsia="仿宋" w:cs="仿宋"/>
          <w:sz w:val="24"/>
          <w:highlight w:val="none"/>
        </w:rPr>
        <w:t xml:space="preserve">开 户 行： </w:t>
      </w:r>
    </w:p>
    <w:p w14:paraId="4F7C8109">
      <w:pPr>
        <w:spacing w:line="360" w:lineRule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 xml:space="preserve">账    号：             </w:t>
      </w:r>
      <w:r>
        <w:rPr>
          <w:rFonts w:hint="eastAsia" w:ascii="仿宋" w:hAnsi="仿宋" w:eastAsia="仿宋" w:cs="仿宋"/>
          <w:sz w:val="24"/>
          <w:highlight w:val="none"/>
        </w:rPr>
        <w:tab/>
      </w:r>
      <w:r>
        <w:rPr>
          <w:rFonts w:hint="eastAsia" w:ascii="仿宋" w:hAnsi="仿宋" w:eastAsia="仿宋" w:cs="仿宋"/>
          <w:sz w:val="24"/>
          <w:highlight w:val="none"/>
        </w:rPr>
        <w:tab/>
      </w:r>
      <w:r>
        <w:rPr>
          <w:rFonts w:hint="eastAsia" w:ascii="仿宋" w:hAnsi="仿宋" w:eastAsia="仿宋" w:cs="仿宋"/>
          <w:sz w:val="24"/>
          <w:highlight w:val="none"/>
        </w:rPr>
        <w:tab/>
      </w:r>
      <w:r>
        <w:rPr>
          <w:rFonts w:hint="eastAsia" w:ascii="仿宋" w:hAnsi="仿宋" w:eastAsia="仿宋" w:cs="仿宋"/>
          <w:sz w:val="24"/>
          <w:highlight w:val="none"/>
        </w:rPr>
        <w:t xml:space="preserve"> </w:t>
      </w:r>
      <w:r>
        <w:rPr>
          <w:rFonts w:hint="eastAsia" w:ascii="仿宋" w:hAnsi="仿宋" w:eastAsia="仿宋" w:cs="仿宋"/>
          <w:sz w:val="24"/>
          <w:highlight w:val="none"/>
        </w:rPr>
        <w:tab/>
      </w:r>
      <w:r>
        <w:rPr>
          <w:rFonts w:hint="eastAsia" w:ascii="仿宋" w:hAnsi="仿宋" w:eastAsia="仿宋" w:cs="仿宋"/>
          <w:sz w:val="24"/>
          <w:highlight w:val="none"/>
        </w:rPr>
        <w:t>账    号：</w:t>
      </w:r>
    </w:p>
    <w:p w14:paraId="3D89232C">
      <w:bookmarkStart w:id="0" w:name="_GoBack"/>
      <w:bookmarkEnd w:id="0"/>
    </w:p>
    <w:sectPr>
      <w:footerReference r:id="rId5" w:type="default"/>
      <w:pgSz w:w="11900" w:h="16840"/>
      <w:pgMar w:top="1440" w:right="1080" w:bottom="1440" w:left="1080" w:header="0" w:footer="1109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3979DA">
    <w:pPr>
      <w:rPr>
        <w:rFonts w:asciiTheme="minorEastAsia" w:hAnsiTheme="minorEastAsia" w:eastAsiaTheme="minorEastAsia"/>
      </w:rPr>
    </w:pPr>
    <w:r>
      <w:rPr>
        <w:rFonts w:hint="eastAsia" w:cs="微软雅黑" w:asciiTheme="minorEastAsia" w:hAnsiTheme="minorEastAsia" w:eastAsiaTheme="minorEastAsia"/>
      </w:rPr>
      <w:t>陕西开源招标有限公司</w:t>
    </w:r>
    <w:r>
      <w:rPr>
        <w:rFonts w:asciiTheme="minorEastAsia" w:hAnsiTheme="minorEastAsia" w:eastAsiaTheme="minorEastAsia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2" name="文本框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C9D1E96">
                          <w:pPr>
                            <w:pStyle w:val="5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LJ1z8sAgAAVw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dTSjRTqPjl+7fL&#10;j1+Xn18JziBQY/0ccTuLyNC+NS3aZjj3OIy829Kp+AUjAj/kPV/lFW0gPF6aTWezMVwcvmED/Ozx&#10;unU+vBNGkWjk1KF+SVZ22vrQhQ4hMZs2m1rKVEOpSZPTm9dvxunC1QNwqZEjkugeG63Q7tue2d4U&#10;ZxBzpusNb/mmRvIt8+GBOTQDHoxxCfdYSmmQxPQWJZVxX/51HuNRI3gpadBcOdWYJUrke43aATAM&#10;hhuM/WDoo7oz6NYJxtDyZOKCC3IwS2fUZ8zQKuaAi2mOTDkNg3kXugbHDHKxWqUgdJtlYat3lkfo&#10;KJ63q2OAgEnXKEqnRK8V+i1Vpp+N2NB/7lPU4/9g+Rt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YsnXPywCAABX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C9D1E96">
                    <w:pPr>
                      <w:pStyle w:val="5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sz w:val="2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5" name="文本框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FCE9C84">
                          <w:pPr>
                            <w:pStyle w:val="5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OguJYsAgAAVwQAAA4AAABkcnMvZTJvRG9jLnhtbK1UzY7TMBC+I/EO&#10;lu80bdGuqqrpqmxVhFSxKy2Is+s4TST/yXablAeAN+DEhTvP1efYz07SRQuHPXBxxp7xN/6+mcni&#10;plWSHIXztdE5nYzGlAjNTVHrfU4/f9q8mVHiA9MFk0aLnJ6EpzfL168WjZ2LqamMLIQjANF+3tic&#10;ViHYeZZ5XgnF/MhYoeEsjVMsYOv2WeFYA3Qls+l4fJ01xhXWGS68x+m6c9Ie0b0E0JRlzcXa8IMS&#10;OnSoTkgWQMlXtfV0mV5bloKHu7L0IhCZUzANaUUS2Lu4ZssFm+8ds1XN+yewlzzhGSfFao2kF6g1&#10;C4wcXP0XlKq5M96UYcSNyjoiSRGwmIyfafNQMSsSF0jt7UV0//9g+cfjvSN1gU64okQzhYqff3w/&#10;//x9/vWN4AwCNdbPEfdgERnad6ZF8HDucRh5t6VT8QtGBH7Ie7rIK9pAeLw0m85mY7g4fMMG+NnT&#10;det8eC+MItHIqUP9kqzsuPWhCx1CYjZtNrWUqYZSkyan12+vxunCxQNwqZEjkugeG63Q7tqe2c4U&#10;JxBzpusNb/mmRvIt8+GeOTQDHoxxCXdYSmmQxPQWJZVxX/91HuNRI3gpadBcOdWYJUrkB43aATAM&#10;hhuM3WDog7o16NYJxtDyZOKCC3IwS2fUF8zQKuaAi2mOTDkNg3kbugbHDHKxWqUgdJtlYasfLI/Q&#10;UTxvV4cAAZOuUZROiV4r9FuqTD8bsaH/3Keop//B8h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g6C4liwCAABX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FCE9C84">
                    <w:pPr>
                      <w:pStyle w:val="5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ECA046B"/>
    <w:multiLevelType w:val="singleLevel"/>
    <w:tmpl w:val="1ECA046B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064E2489"/>
    <w:rsid w:val="00302321"/>
    <w:rsid w:val="003E248C"/>
    <w:rsid w:val="00913F12"/>
    <w:rsid w:val="00937730"/>
    <w:rsid w:val="009D3BAB"/>
    <w:rsid w:val="00A8560B"/>
    <w:rsid w:val="00C80D71"/>
    <w:rsid w:val="00DB0A2E"/>
    <w:rsid w:val="064E2489"/>
    <w:rsid w:val="4F453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120" w:after="120" w:line="360" w:lineRule="auto"/>
      <w:jc w:val="center"/>
      <w:outlineLvl w:val="0"/>
    </w:pPr>
    <w:rPr>
      <w:b/>
      <w:bCs/>
      <w:kern w:val="44"/>
      <w:sz w:val="30"/>
      <w:szCs w:val="44"/>
    </w:rPr>
  </w:style>
  <w:style w:type="paragraph" w:styleId="4">
    <w:name w:val="heading 2"/>
    <w:basedOn w:val="1"/>
    <w:next w:val="1"/>
    <w:qFormat/>
    <w:uiPriority w:val="0"/>
    <w:pPr>
      <w:keepNext/>
      <w:keepLines/>
      <w:spacing w:before="120" w:after="12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5">
    <w:name w:val="footer"/>
    <w:basedOn w:val="1"/>
    <w:link w:val="10"/>
    <w:uiPriority w:val="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6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9">
    <w:name w:val="页眉 Char"/>
    <w:basedOn w:val="8"/>
    <w:link w:val="6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0">
    <w:name w:val="页脚 Char"/>
    <w:basedOn w:val="8"/>
    <w:link w:val="5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1267</Words>
  <Characters>1278</Characters>
  <Lines>11</Lines>
  <Paragraphs>3</Paragraphs>
  <TotalTime>0</TotalTime>
  <ScaleCrop>false</ScaleCrop>
  <LinksUpToDate>false</LinksUpToDate>
  <CharactersWithSpaces>1547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2023-10-18T10:09:00Z</dcterms:created>
  <dc:creator>就是如此</dc:creator>
  <cp:lastModifiedBy>白日梦</cp:lastModifiedBy>
  <dcterms:modified xsi:type="dcterms:W3CDTF">2026-03-30T06:55:42Z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2B13D543E81B4760AF6D0E764E685C92_11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