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版本号：JXRC-26031220260330001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院区外环境维修改造项目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JXRC-260312</w:t>
      </w:r>
      <w:r>
        <w:br/>
      </w:r>
      <w:r>
        <w:br/>
      </w:r>
      <w:r>
        <w:br/>
      </w:r>
    </w:p>
    <w:p>
      <w:pPr>
        <w:pStyle w:val="null3"/>
        <w:jc w:val="center"/>
        <w:outlineLvl w:val="2"/>
      </w:pPr>
      <w:r>
        <w:rPr>
          <w:rFonts w:ascii="仿宋_GB2312" w:hAnsi="仿宋_GB2312" w:cs="仿宋_GB2312" w:eastAsia="仿宋_GB2312"/>
          <w:sz w:val="28"/>
          <w:b/>
        </w:rPr>
        <w:t>西安医学院第二附属医院</w:t>
      </w:r>
    </w:p>
    <w:p>
      <w:pPr>
        <w:pStyle w:val="null3"/>
        <w:jc w:val="center"/>
        <w:outlineLvl w:val="2"/>
      </w:pPr>
      <w:r>
        <w:rPr>
          <w:rFonts w:ascii="仿宋_GB2312" w:hAnsi="仿宋_GB2312" w:cs="仿宋_GB2312" w:eastAsia="仿宋_GB2312"/>
          <w:sz w:val="28"/>
          <w:b/>
        </w:rPr>
        <w:t>陕西嘉信瑞诚招标有限公司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陕西嘉信瑞诚招标有限公司</w:t>
      </w:r>
      <w:r>
        <w:rPr>
          <w:rFonts w:ascii="仿宋_GB2312" w:hAnsi="仿宋_GB2312" w:cs="仿宋_GB2312" w:eastAsia="仿宋_GB2312"/>
        </w:rPr>
        <w:t>（以下简称“代理机构”）受</w:t>
      </w:r>
      <w:r>
        <w:rPr>
          <w:rFonts w:ascii="仿宋_GB2312" w:hAnsi="仿宋_GB2312" w:cs="仿宋_GB2312" w:eastAsia="仿宋_GB2312"/>
        </w:rPr>
        <w:t>西安医学院第二附属医院</w:t>
      </w:r>
      <w:r>
        <w:rPr>
          <w:rFonts w:ascii="仿宋_GB2312" w:hAnsi="仿宋_GB2312" w:cs="仿宋_GB2312" w:eastAsia="仿宋_GB2312"/>
        </w:rPr>
        <w:t>委托，拟对</w:t>
      </w:r>
      <w:r>
        <w:rPr>
          <w:rFonts w:ascii="仿宋_GB2312" w:hAnsi="仿宋_GB2312" w:cs="仿宋_GB2312" w:eastAsia="仿宋_GB2312"/>
        </w:rPr>
        <w:t>院区外环境维修改造项目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JXRC-260312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院区外环境维修改造项目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本项目为西安医学院第二附属医院内维修改善路面与停车场、提升绿化、增设休憩设施、维修内科楼墙面、更换无障碍栏杆及宣传栏、强化引导标识等。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采购包1（院区外环境维修改造项目）：属于专门面向中小企业采购。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1、法定代表人/负责人授权书：法定代表人/负责人直接参加的，只须递交《法定代表人/负责人身份证明》；法定代表人/负责人授权代表参加的，须递交《法定代表人/负责人授权书》。</w:t>
      </w:r>
    </w:p>
    <w:p>
      <w:pPr>
        <w:pStyle w:val="null3"/>
      </w:pPr>
      <w:r>
        <w:rPr>
          <w:rFonts w:ascii="仿宋_GB2312" w:hAnsi="仿宋_GB2312" w:cs="仿宋_GB2312" w:eastAsia="仿宋_GB2312"/>
        </w:rPr>
        <w:t>2、供应商为具有独立承担民事责任能力的法人、其他组织或自然人：企业法人应提供合法有效的标识有统一社会信用代码的营业执照；事业法人应提供事业单位法人证书；其他组织应提供合法登记证明文件；自然人应提供身份证。</w:t>
      </w:r>
    </w:p>
    <w:p>
      <w:pPr>
        <w:pStyle w:val="null3"/>
      </w:pPr>
      <w:r>
        <w:rPr>
          <w:rFonts w:ascii="仿宋_GB2312" w:hAnsi="仿宋_GB2312" w:cs="仿宋_GB2312" w:eastAsia="仿宋_GB2312"/>
        </w:rPr>
        <w:t>3、供应商资质：具备建筑工程施工总承包三级及以上资质，具备有效的安全生产许可证。</w:t>
      </w:r>
    </w:p>
    <w:p>
      <w:pPr>
        <w:pStyle w:val="null3"/>
      </w:pPr>
      <w:r>
        <w:rPr>
          <w:rFonts w:ascii="仿宋_GB2312" w:hAnsi="仿宋_GB2312" w:cs="仿宋_GB2312" w:eastAsia="仿宋_GB2312"/>
        </w:rPr>
        <w:t>4、拟派项目经理资格：具备建筑工程专业二级及以上注册建造师执业资格，并具备有效的安全生产考核合格证（建安B证），须在本单位注册，无不良信用记录，且未担任其他在建工程项目的项目经理，提供无在建工程承诺书。</w:t>
      </w:r>
    </w:p>
    <w:p>
      <w:pPr>
        <w:pStyle w:val="null3"/>
      </w:pPr>
      <w:r>
        <w:rPr>
          <w:rFonts w:ascii="仿宋_GB2312" w:hAnsi="仿宋_GB2312" w:cs="仿宋_GB2312" w:eastAsia="仿宋_GB2312"/>
        </w:rPr>
        <w:t>5、财务状况证明：法人提供会计师事务所出具的合法有效的完整的2024年度或2025年度审计报告（成立时间至提交投标文件截止时间不足一年的可提供成立后任意时段的资产负债表)，或开标前6个月内其开户银行出具的资信证明，或信用担保机构出具的投标担保函（以上三种形式的资料提供任何一种即可)；其他组织和自然人提供银行出具的资信证明或财务报表。</w:t>
      </w:r>
    </w:p>
    <w:p>
      <w:pPr>
        <w:pStyle w:val="null3"/>
      </w:pPr>
      <w:r>
        <w:rPr>
          <w:rFonts w:ascii="仿宋_GB2312" w:hAnsi="仿宋_GB2312" w:cs="仿宋_GB2312" w:eastAsia="仿宋_GB2312"/>
        </w:rPr>
        <w:t>6、纳税证明：法人提供自2025年9月1日以来至少一个月的纳税证明或完税证明(增值税、企业所得税至少一种)，纳税证明或完税证明上应有代收机构或税务机关的公章或业务专用章；其他组织和自然人提供自2025年9月1日以来至少一个月缴纳税收的凭据；依法免税的供应商应提供相关文件证明。</w:t>
      </w:r>
    </w:p>
    <w:p>
      <w:pPr>
        <w:pStyle w:val="null3"/>
      </w:pPr>
      <w:r>
        <w:rPr>
          <w:rFonts w:ascii="仿宋_GB2312" w:hAnsi="仿宋_GB2312" w:cs="仿宋_GB2312" w:eastAsia="仿宋_GB2312"/>
        </w:rPr>
        <w:t>7、社保缴纳证明：提供自2025年9月1日以来至少一个月已缴纳的社会保障资金的证明（社会保障资金缴存单据或社保机构开具的社会保险参保缴费情况证明等)；依法不需要缴纳社会保障资金的供应商应提供相关证明文件。</w:t>
      </w:r>
    </w:p>
    <w:p>
      <w:pPr>
        <w:pStyle w:val="null3"/>
      </w:pPr>
      <w:r>
        <w:rPr>
          <w:rFonts w:ascii="仿宋_GB2312" w:hAnsi="仿宋_GB2312" w:cs="仿宋_GB2312" w:eastAsia="仿宋_GB2312"/>
        </w:rPr>
        <w:t>8、无重大违法记录：供应商需提供《无重大违法记录声明》。</w:t>
      </w:r>
    </w:p>
    <w:p>
      <w:pPr>
        <w:pStyle w:val="null3"/>
      </w:pPr>
      <w:r>
        <w:rPr>
          <w:rFonts w:ascii="仿宋_GB2312" w:hAnsi="仿宋_GB2312" w:cs="仿宋_GB2312" w:eastAsia="仿宋_GB2312"/>
        </w:rPr>
        <w:t>9、履约能力证明：供应商需提供《具有履行合同所必需的设备和专业技术能力的承诺书》。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西安医学院第二附属医院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灞桥区纺织城纺东街167号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西安医学院第二附属医院经办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029-83513612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陕西嘉信瑞诚招标有限公司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西安市南稍门十字东南角大话南门壹中心18层1806室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曲慧、张海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029-81541692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代理服务费收费标准：招标代理服务费以中标(成交)供应商的中标(成交)金额为基数,参考国家计委（计价格【2002】1980号）《招标代理服务收费管理暂行办法》规定的收费标准下浮20%收取。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踏勘时间：2026-04-08 09:30:00</w:t>
            </w:r>
          </w:p>
          <w:p>
            <w:pPr>
              <w:pStyle w:val="null3"/>
              <w:ind w:firstLine="975"/>
            </w:pPr>
            <w:r>
              <w:rPr>
                <w:rFonts w:ascii="仿宋_GB2312" w:hAnsi="仿宋_GB2312" w:cs="仿宋_GB2312" w:eastAsia="仿宋_GB2312"/>
              </w:rPr>
              <w:t>踏勘地点：西安医学院第二附属医院北门（供应商可根据自身情况自行决定踏勘需求。踏勘所产生的一切责任由供应商自行承担，踏勘产生的相关费用及安全由供应商自行承担。凡因对项目实施现场踏勘不充分等了解不清而造成的后果和风险，或因供应商对磋商文件阅读疏忽或误解，均由供应商自行负责。）</w:t>
            </w:r>
          </w:p>
          <w:p>
            <w:pPr>
              <w:pStyle w:val="null3"/>
              <w:ind w:firstLine="975"/>
            </w:pPr>
            <w:r>
              <w:rPr>
                <w:rFonts w:ascii="仿宋_GB2312" w:hAnsi="仿宋_GB2312" w:cs="仿宋_GB2312" w:eastAsia="仿宋_GB2312"/>
              </w:rPr>
              <w:t>联系人：王工</w:t>
            </w:r>
          </w:p>
          <w:p>
            <w:pPr>
              <w:pStyle w:val="null3"/>
              <w:ind w:firstLine="975"/>
            </w:pPr>
            <w:r>
              <w:rPr>
                <w:rFonts w:ascii="仿宋_GB2312" w:hAnsi="仿宋_GB2312" w:cs="仿宋_GB2312" w:eastAsia="仿宋_GB2312"/>
              </w:rPr>
              <w:t>联系电话号码：13227851568</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西安医学院第二附属医院</w:t>
      </w:r>
      <w:r>
        <w:rPr>
          <w:rFonts w:ascii="仿宋_GB2312" w:hAnsi="仿宋_GB2312" w:cs="仿宋_GB2312" w:eastAsia="仿宋_GB2312"/>
        </w:rPr>
        <w:t>和</w:t>
      </w:r>
      <w:r>
        <w:rPr>
          <w:rFonts w:ascii="仿宋_GB2312" w:hAnsi="仿宋_GB2312" w:cs="仿宋_GB2312" w:eastAsia="仿宋_GB2312"/>
        </w:rPr>
        <w:t>陕西嘉信瑞诚招标有限公司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西安医学院第二附属医院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陕西嘉信瑞诚招标有限公司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西安医学院第二附属医院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陕西嘉信瑞诚招标有限公司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一、现行的国家标准或国家行政部门颁布的法律法规、规章制度等，没有国家标准的可参考行业标准。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 三、验收结果合格的，采购人应向成交供应商出具履约验收报告，成交供应商凭验收报告办理相关手续。 四、验收结果不合格的，履约保证金将不予退还，给采购人造成的损失超过履约保证金数额的，还应当对超过部分予以赔偿；没有提交履约保证金的，应当对采购人的损失承担赔偿责任。</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联系人：曲慧。张海</w:t>
      </w:r>
    </w:p>
    <w:p>
      <w:pPr>
        <w:pStyle w:val="null3"/>
      </w:pPr>
      <w:r>
        <w:rPr>
          <w:rFonts w:ascii="仿宋_GB2312" w:hAnsi="仿宋_GB2312" w:cs="仿宋_GB2312" w:eastAsia="仿宋_GB2312"/>
        </w:rPr>
        <w:t>联系电话：029-81541692</w:t>
      </w:r>
    </w:p>
    <w:p>
      <w:pPr>
        <w:pStyle w:val="null3"/>
      </w:pPr>
      <w:r>
        <w:rPr>
          <w:rFonts w:ascii="仿宋_GB2312" w:hAnsi="仿宋_GB2312" w:cs="仿宋_GB2312" w:eastAsia="仿宋_GB2312"/>
        </w:rPr>
        <w:t>地址：西安市南稍门十字东南角大话南门壹中心18层1806室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1,500,000.00</w:t>
      </w:r>
    </w:p>
    <w:p>
      <w:pPr>
        <w:pStyle w:val="null3"/>
      </w:pPr>
      <w:r>
        <w:rPr>
          <w:rFonts w:ascii="仿宋_GB2312" w:hAnsi="仿宋_GB2312" w:cs="仿宋_GB2312" w:eastAsia="仿宋_GB2312"/>
        </w:rPr>
        <w:t>采购包最高限价（元）: 1,372,545.77</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院区外环境维修改造项目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1,500,000.00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标的名称：院区外环境维修改造项目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 xml:space="preserve">  </w:t>
            </w:r>
            <w:r>
              <w:rPr>
                <w:rFonts w:ascii="仿宋_GB2312" w:hAnsi="仿宋_GB2312" w:cs="仿宋_GB2312" w:eastAsia="仿宋_GB2312"/>
                <w:sz w:val="24"/>
              </w:rPr>
              <w:t>1、本项目驻场项目经理须持有二级及以上注册建造师证书，并在本单位完成注册。驻场项目经理或具备同等资质的技术负责人，每周现场带班时间不得少于5天，且累计带班总时长应不低于项目总施工时间的80%。项目部须建立项目带班台班记录，实行每日签到管理，完整留存带班日期及在岗记录。</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、现场施工人员须具备相应的施工经验，电工、焊工、特种作业等人员须持证上岗。</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、须配备各类材料、工具、机械等，以匹配医院修缮需求。</w:t>
            </w:r>
          </w:p>
          <w:p>
            <w:pPr>
              <w:pStyle w:val="null3"/>
              <w:ind w:firstLine="480"/>
              <w:jc w:val="both"/>
            </w:pPr>
            <w:r>
              <w:rPr>
                <w:rFonts w:ascii="仿宋_GB2312" w:hAnsi="仿宋_GB2312" w:cs="仿宋_GB2312" w:eastAsia="仿宋_GB2312"/>
                <w:sz w:val="24"/>
              </w:rPr>
              <w:t>4、施工产生的水电费用按照审计结算金额的6‰计算，该费用由中标方承担，结算时一并扣除。</w:t>
            </w:r>
          </w:p>
          <w:p>
            <w:pPr>
              <w:pStyle w:val="null3"/>
              <w:ind w:firstLine="480"/>
            </w:pPr>
            <w:r>
              <w:rPr>
                <w:rFonts w:ascii="仿宋_GB2312" w:hAnsi="仿宋_GB2312" w:cs="仿宋_GB2312" w:eastAsia="仿宋_GB2312"/>
                <w:sz w:val="24"/>
              </w:rPr>
              <w:t>5、投标人进场施工前，应现场踏勘并核实现场实际条件；工程施工完毕后，须按相关规范编制并提交完整的竣工图。竣工图的编制费用均包含在投标报价中，不另行计取。</w:t>
            </w:r>
          </w:p>
          <w:p>
            <w:pPr>
              <w:pStyle w:val="null3"/>
              <w:ind w:firstLine="480"/>
            </w:pPr>
            <w:r>
              <w:rPr>
                <w:rFonts w:ascii="仿宋_GB2312" w:hAnsi="仿宋_GB2312" w:cs="仿宋_GB2312" w:eastAsia="仿宋_GB2312"/>
                <w:sz w:val="24"/>
              </w:rPr>
              <w:t>6、铺设道路部分施工前对原有混凝土路面进行病害处理、铣刨拉毛及清洁干燥，喷洒粘层油并采取防反射裂缝措施，按规范摊铺、碾压沥青面层。</w:t>
            </w:r>
          </w:p>
          <w:p>
            <w:pPr>
              <w:pStyle w:val="null3"/>
              <w:ind w:firstLine="480"/>
            </w:pPr>
            <w:r>
              <w:rPr>
                <w:rFonts w:ascii="仿宋_GB2312" w:hAnsi="仿宋_GB2312" w:cs="仿宋_GB2312" w:eastAsia="仿宋_GB2312"/>
                <w:sz w:val="24"/>
              </w:rPr>
              <w:t>7、本次清单综合单价已包含施工所需全部工序及费用，含与外部混凝土道路连接处破除、沥青与混凝土交接处处理、院内高低落差部位混凝土破除等所有相关工作内容均包含在投标报价中，不另行计取。</w:t>
            </w:r>
          </w:p>
          <w:p>
            <w:pPr>
              <w:pStyle w:val="null3"/>
              <w:ind w:firstLine="480"/>
            </w:pPr>
            <w:r>
              <w:rPr>
                <w:rFonts w:ascii="仿宋_GB2312" w:hAnsi="仿宋_GB2312" w:cs="仿宋_GB2312" w:eastAsia="仿宋_GB2312"/>
                <w:sz w:val="24"/>
              </w:rPr>
              <w:t>8、施工范围内所有检查井、雨水口等各类井盖（含圆形、方形、矩形等不同规格及数量）的拆除、升降、调整、加固、密封、周边混凝土恢复、与路面平顺衔接等全部工作内容及费用，均已包含在投标报价中，无论实际数量与规格是否变化，均不另行增加费用、不办理现场签证。</w:t>
            </w:r>
          </w:p>
          <w:p>
            <w:pPr>
              <w:pStyle w:val="null3"/>
              <w:ind w:firstLine="480"/>
            </w:pPr>
            <w:r>
              <w:rPr>
                <w:rFonts w:ascii="仿宋_GB2312" w:hAnsi="仿宋_GB2312" w:cs="仿宋_GB2312" w:eastAsia="仿宋_GB2312"/>
                <w:sz w:val="24"/>
              </w:rPr>
              <w:t>9、真石漆施工前须铲除原有墙面涂层至基层，重新施工真石漆面层，新做真石漆应与院区原有真石漆墙面保持同材质、同品质、同颜色、同观感，无色差、无明显接茬，相关铲除、基层处理、腻子、底漆、真石漆、罩面漆及外观统一等全部工作内容及费用均包含在投标报价中，不另行计取。</w:t>
            </w:r>
          </w:p>
          <w:p>
            <w:pPr>
              <w:pStyle w:val="null3"/>
              <w:ind w:firstLine="480"/>
            </w:pPr>
            <w:r>
              <w:rPr>
                <w:rFonts w:ascii="仿宋_GB2312" w:hAnsi="仿宋_GB2312" w:cs="仿宋_GB2312" w:eastAsia="仿宋_GB2312"/>
                <w:sz w:val="24"/>
              </w:rPr>
              <w:t>10、施工期间需负责现有绿化、苗木、管线、井盖、路沿石、路灯、监控、宣传栏、标识牌等设施的保护、移位、拆除及恢复，相关费用均包含在投标报价中，不另行计取。</w:t>
            </w:r>
          </w:p>
          <w:p>
            <w:pPr>
              <w:pStyle w:val="null3"/>
              <w:ind w:firstLine="480"/>
            </w:pPr>
            <w:r>
              <w:rPr>
                <w:rFonts w:ascii="仿宋_GB2312" w:hAnsi="仿宋_GB2312" w:cs="仿宋_GB2312" w:eastAsia="仿宋_GB2312"/>
                <w:sz w:val="24"/>
              </w:rPr>
              <w:t>11、施工过程中涉及垃圾清运、渣土外运、场内倒运、装卸、保洁、洒水降尘、扬尘治理、文明施工等全部费用，均包含在投标报价中，不另行计取。</w:t>
            </w:r>
          </w:p>
          <w:p>
            <w:pPr>
              <w:pStyle w:val="null3"/>
              <w:ind w:firstLine="480"/>
            </w:pPr>
            <w:r>
              <w:rPr>
                <w:rFonts w:ascii="仿宋_GB2312" w:hAnsi="仿宋_GB2312" w:cs="仿宋_GB2312" w:eastAsia="仿宋_GB2312"/>
                <w:sz w:val="24"/>
              </w:rPr>
              <w:t>12、施工期间需配合医院交通导改、行人分流、围挡搭设、安全警示、现场值守、院区秩序维护等工作，相关费用均包含在投标报价中，不另行计取。</w:t>
            </w:r>
          </w:p>
          <w:p>
            <w:pPr>
              <w:pStyle w:val="null3"/>
              <w:ind w:firstLine="480"/>
            </w:pPr>
            <w:r>
              <w:rPr>
                <w:rFonts w:ascii="仿宋_GB2312" w:hAnsi="仿宋_GB2312" w:cs="仿宋_GB2312" w:eastAsia="仿宋_GB2312"/>
                <w:sz w:val="24"/>
              </w:rPr>
              <w:t>13、道路及绿化施工范围内原有地面、基础、砼垫层、步道砖、路牙、旧沥青层等拆除及外运，均包含在投标报价中，不另行计取。</w:t>
            </w:r>
          </w:p>
          <w:p>
            <w:pPr>
              <w:pStyle w:val="null3"/>
              <w:jc w:val="both"/>
            </w:pPr>
            <w:r>
              <w:rPr>
                <w:rFonts w:ascii="仿宋_GB2312" w:hAnsi="仿宋_GB2312" w:cs="仿宋_GB2312" w:eastAsia="仿宋_GB2312"/>
                <w:sz w:val="24"/>
              </w:rPr>
              <w:t>14、本项目采用总价包干模式。投标人已充分踏勘现场，综合考虑场地条件、交通组织、设备搬移腾挪、成品保护及完工恢复、拆除外运、夜间施工、水电费用、绿化养护、措施项目、安全文明施工、各类协调及各类风险等全部因素，相关费用均已包含在投标报价内。除招标人书面变更外，结算时一律不调整合同价格、不增加任何费用、不办理现场签证。</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现行的国家标准或国家行政部门颁布的法律法规、规章制度等，没有国家标准的可参考行业标准。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1、工程验收标准或规范: （1）现行的国家标准或国家行政部门颁布的法律法规、规章制度等，没有国家标准的可参考行业标准。 （2）交付竣工验收的工 程，必须符合规定的工程质量标准，有完整的工程技术经济资料和经签署的工程保修书，并具备国家规定的其他竣工条件。 工程竣工经验收合格后，方可交付使用；未经验收或者验收不合格的，不得交付使用 （3）验收结果合格的，采购人应向成交供应商出具履约验收报告，成交供应商凭验收报告办理相关手续。 （4）验收结果不合格的，履约保证金将不予退还，给采购人造成的损失超过履约保证金数额的，还应当对超过部分予以赔偿；没有提交履约保证金的，应当对采购人的损失承担赔偿责任。 2、施工方应派专人完成施工的全部内容，完成工程承包过程中与院方接治的一切事宜，对所承包施工任务的质量，安全生产，文明施工，工程进度等工作负责。 3、施工完成后配合院方完成工程结算、工程保修、交付使用、资料移交等工作。 4、为赶工期，投标方需采取必要的赶工措施，赶工措施费已包含在投标报价中，不另外计取。 5、进场施工需无条件服从医院管理人员管理监督，配合相关工作。 6、投标人须根据本项目建设规模、施工内容及管理要求，按专业、执业资格足额配置项目管理团队，确保人员配备齐全、专业匹配、履职到位，满足项目全过程施工管理与质量安全管控需求。 7、自工程开工之日起至质保期满之日止，施工期间涉及政府主管部门、行业监管单位及相关方的协调对接工作均由投标人负责，由此产生的全部费用已包含在投标报价中，招标人不另行支付、不额外计取任何费用。 8、为保障医疗业务的正常开展，需错峰施工及夜间施工（含成品保护及卫生打扫），所需费用包含在投标报价中，不另外计取。 9、所有施工中产生的垃圾外运、倒运等费用由乙方负责； 10、中标人须严格遵守国家及地方安全生产法律法规，对施工现场安全管理、人员安全、设备安全、消防安全及文明施工负全责。因施工组织、操作不当、管理疏漏等引发的任何安全事故、行政处罚及经济损失，均由中标人自行承担，招标人不承担任何责任。 11、综合单价包含所有费用及税金。</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1、工程地点：西安医学院第二附属医院 2、计划工期：30天 3、质量保修期：自验收合格起之日2年。 4、质保期保修要求：凡属工程质量及施工责任范围内的问题，在质量保修期内提供免费维修及保养服务。 5、支付方式： （1）沥青路面铺设完毕后，付至合同总价（不含暂列金）的40%；（2）工程竣工验收合格后，累计付至合同总价（不含暂列金）的85%；（3）完成审计结算、所有资料完成归档 ，累计付至工程结算审计金额的97%；（4）验收合格满两年后，付至工程结算审计金额的100%。 6、质量保证 （1）成交供应商应保质保量按照采购人要求施工，工程完工后采购人按照国家相关技术规范要求进行验收。成交供应商若不按采购人要求施工的，采购人有权要求成交供应商停工，成交供应商应在采购人规定期限内进行整改，停工期间工期不顺延，由此产生的费用及损失，成交供应商自行承担；成交供应商累计停工超过约定工期一半天数的，视为成交供应商违约，采购人有权单方解除合同，合同自书面解除通知送达成交供应商之日解除，成交供应商除应赔偿由此给采购人造成的全部损失外，还应按照合同总价的30%承担违约金。 （2）成交供应商应妥善保护好采购人现场的设施设备及采购人提供的材料，如造成损失，成交供应商照价赔偿。 （3）未经采购人书面同意，成交供应商擅自拆改原有建筑物的结构或设备管线，由此发生的损失或事故（包括罚款），由成交供应商负责并承担全部责任。 7、违约责任 （1）按《中华人民共和国民法典》中的相关条款执行。 （2）未按合同要求提供，质量不能满足技术要求的，采购人会同政府采购机构有权终止合同（合同自书面通知送达成交供应商之日解除），成交供应商赔偿采购人解除合同的全部损失（包括但不限于重新采购产生的费用及其它由此造成的采购人对第三方的违约损失），并按照合同总价的30%支付违约金。同时按《中华人民共和国政府采购法》有关处罚条款报监管机构进行相应的处罚。 8、本项目暂列金额为80700元，直接计入总报价，不取税费，磋商时不下浮，结算时按暂列金额有关要求执行。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法定代表人/负责人授权书</w:t>
            </w:r>
          </w:p>
        </w:tc>
        <w:tc>
          <w:tcPr>
            <w:tcW w:type="dxa" w:w="3322"/>
          </w:tcPr>
          <w:p>
            <w:pPr>
              <w:pStyle w:val="null3"/>
            </w:pPr>
            <w:r>
              <w:rPr>
                <w:rFonts w:ascii="仿宋_GB2312" w:hAnsi="仿宋_GB2312" w:cs="仿宋_GB2312" w:eastAsia="仿宋_GB2312"/>
              </w:rPr>
              <w:t>法定代表人/负责人直接参加的，只须递交《法定代表人/负责人身份证明》；法定代表人/负责人授权代表参加的，须递交《法定代表人/负责人授权书》。</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供应商为具有独立承担民事责任能力的法人、其他组织或自然人</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企业法人应提供合法有效的标识有统一社会信用代码的营业执照；事业法人应提供事业单位法人证书；其他组织应提供合法登记证明文件；自然人应提供身份证。</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具备建筑工程施工总承包三级及以上资质，具备有效的安全生产许可证。</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拟派项目经理资格</w:t>
            </w:r>
          </w:p>
        </w:tc>
        <w:tc>
          <w:tcPr>
            <w:tcW w:type="dxa" w:w="3322"/>
          </w:tcPr>
          <w:p>
            <w:pPr>
              <w:pStyle w:val="null3"/>
            </w:pPr>
            <w:r>
              <w:rPr>
                <w:rFonts w:ascii="仿宋_GB2312" w:hAnsi="仿宋_GB2312" w:cs="仿宋_GB2312" w:eastAsia="仿宋_GB2312"/>
              </w:rPr>
              <w:t>具备建筑工程专业二级及以上注册建造师执业资格，并具备有效的安全生产考核合格证（建安B证），须在本单位注册，无不良信用记录，且未担任其他在建工程项目的项目经理，提供无在建工程承诺书。</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法人提供会计师事务所出具的合法有效的完整的2024年度或2025年度审计报告（成立时间至提交投标文件截止时间不足一年的可提供成立后任意时段的资产负债表)，或开标前6个月内其开户银行出具的资信证明，或信用担保机构出具的投标担保函（以上三种形式的资料提供任何一种即可)；其他组织和自然人提供银行出具的资信证明或财务报表。</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纳税证明</w:t>
            </w:r>
          </w:p>
        </w:tc>
        <w:tc>
          <w:tcPr>
            <w:tcW w:type="dxa" w:w="3322"/>
          </w:tcPr>
          <w:p>
            <w:pPr>
              <w:pStyle w:val="null3"/>
            </w:pPr>
            <w:r>
              <w:rPr>
                <w:rFonts w:ascii="仿宋_GB2312" w:hAnsi="仿宋_GB2312" w:cs="仿宋_GB2312" w:eastAsia="仿宋_GB2312"/>
              </w:rPr>
              <w:t>法人提供自2025年9月1日以来至少一个月的纳税证明或完税证明(增值税、企业所得税至少一种)，纳税证明或完税证明上应有代收机构或税务机关的公章或业务专用章；其他组织和自然人提供自2025年9月1日以来至少一个月缴纳税收的凭据；依法免税的供应商应提供相关文件证明。</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提供自2025年9月1日以来至少一个月已缴纳的社会保障资金的证明（社会保障资金缴存单据或社保机构开具的社会保险参保缴费情况证明等)；依法不需要缴纳社会保障资金的供应商应提供相关证明文件。</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供应商需提供《无重大违法记录声明》。</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履约能力证明</w:t>
            </w:r>
          </w:p>
        </w:tc>
        <w:tc>
          <w:tcPr>
            <w:tcW w:type="dxa" w:w="3322"/>
          </w:tcPr>
          <w:p>
            <w:pPr>
              <w:pStyle w:val="null3"/>
            </w:pPr>
            <w:r>
              <w:rPr>
                <w:rFonts w:ascii="仿宋_GB2312" w:hAnsi="仿宋_GB2312" w:cs="仿宋_GB2312" w:eastAsia="仿宋_GB2312"/>
              </w:rPr>
              <w:t>供应商需提供《具有履行合同所必需的设备和专业技术能力的承诺书》。</w:t>
            </w:r>
          </w:p>
        </w:tc>
        <w:tc>
          <w:tcPr>
            <w:tcW w:type="dxa" w:w="1661"/>
          </w:tcPr>
          <w:p>
            <w:pPr>
              <w:pStyle w:val="null3"/>
            </w:pPr>
            <w:r>
              <w:rPr>
                <w:rFonts w:ascii="仿宋_GB2312" w:hAnsi="仿宋_GB2312" w:cs="仿宋_GB2312" w:eastAsia="仿宋_GB2312"/>
              </w:rPr>
              <w:t>供应商资格</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 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2.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3.投标人提交的相关说明和证明材料，应当加盖投标人（法定名称）电子印章，在评标委员会要求的时间内通过项目电子化交易系统进行提交，否则提交的相关证明材料无效。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签章符合采购文件要求</w:t>
            </w:r>
          </w:p>
        </w:tc>
        <w:tc>
          <w:tcPr>
            <w:tcW w:type="dxa" w:w="3322"/>
          </w:tcPr>
          <w:p>
            <w:pPr>
              <w:pStyle w:val="null3"/>
            </w:pPr>
            <w:r>
              <w:rPr>
                <w:rFonts w:ascii="仿宋_GB2312" w:hAnsi="仿宋_GB2312" w:cs="仿宋_GB2312" w:eastAsia="仿宋_GB2312"/>
              </w:rPr>
              <w:t>供应商应当加盖供应商（法定名称）电子印章</w:t>
            </w:r>
          </w:p>
        </w:tc>
        <w:tc>
          <w:tcPr>
            <w:tcW w:type="dxa" w:w="1661"/>
          </w:tcPr>
          <w:p>
            <w:pPr>
              <w:pStyle w:val="null3"/>
            </w:pPr>
            <w:r>
              <w:rPr>
                <w:rFonts w:ascii="仿宋_GB2312" w:hAnsi="仿宋_GB2312" w:cs="仿宋_GB2312" w:eastAsia="仿宋_GB2312"/>
              </w:rPr>
              <w:t>响应文件封面 其他材料 供应商基本信息 拒绝政府采购领域商业贿赂承诺书 企业关联关系声明函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最高限价</w:t>
            </w:r>
          </w:p>
        </w:tc>
        <w:tc>
          <w:tcPr>
            <w:tcW w:type="dxa" w:w="3322"/>
          </w:tcPr>
          <w:p>
            <w:pPr>
              <w:pStyle w:val="null3"/>
            </w:pPr>
            <w:r>
              <w:rPr>
                <w:rFonts w:ascii="仿宋_GB2312" w:hAnsi="仿宋_GB2312" w:cs="仿宋_GB2312" w:eastAsia="仿宋_GB2312"/>
              </w:rPr>
              <w:t>投标报价不得超过本项目最高限价</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商务要求响应</w:t>
            </w:r>
          </w:p>
        </w:tc>
        <w:tc>
          <w:tcPr>
            <w:tcW w:type="dxa" w:w="3322"/>
          </w:tcPr>
          <w:p>
            <w:pPr>
              <w:pStyle w:val="null3"/>
            </w:pPr>
            <w:r>
              <w:rPr>
                <w:rFonts w:ascii="仿宋_GB2312" w:hAnsi="仿宋_GB2312" w:cs="仿宋_GB2312" w:eastAsia="仿宋_GB2312"/>
              </w:rPr>
              <w:t>供应商必须满足采购文件的第三章3.2商务要求和3.3其他要求</w:t>
            </w:r>
          </w:p>
        </w:tc>
        <w:tc>
          <w:tcPr>
            <w:tcW w:type="dxa" w:w="1661"/>
          </w:tcPr>
          <w:p>
            <w:pPr>
              <w:pStyle w:val="null3"/>
            </w:pPr>
            <w:r>
              <w:rPr>
                <w:rFonts w:ascii="仿宋_GB2312" w:hAnsi="仿宋_GB2312" w:cs="仿宋_GB2312" w:eastAsia="仿宋_GB2312"/>
              </w:rPr>
              <w:t>商务响应偏离表</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根据各供应商提供的总体实施方案等进行综合评审。 实施方案非常详细、完整，可行、有针对性，有利于项目实施的10分； 实施方案比较详细完整、可行，较利于项目实施的得8分； 实施方案基本可行，基本满足项目实施需要的得6分； 实施方案有缺漏项、不能完全满足项目实施需要的得4分； 实施方案内容粗略、不满足项目实施需要的得2分； 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w:t>
            </w:r>
          </w:p>
        </w:tc>
      </w:tr>
      <w:tr>
        <w:tc>
          <w:tcPr>
            <w:tcW w:type="dxa" w:w="831"/>
            <w:vMerge/>
          </w:tcPr>
          <w:p/>
        </w:tc>
        <w:tc>
          <w:tcPr>
            <w:tcW w:type="dxa" w:w="1661"/>
          </w:tcPr>
          <w:p>
            <w:pPr>
              <w:pStyle w:val="null3"/>
            </w:pPr>
            <w:r>
              <w:rPr>
                <w:rFonts w:ascii="仿宋_GB2312" w:hAnsi="仿宋_GB2312" w:cs="仿宋_GB2312" w:eastAsia="仿宋_GB2312"/>
              </w:rPr>
              <w:t>安全作业方案及安全配套措施</w:t>
            </w:r>
          </w:p>
        </w:tc>
        <w:tc>
          <w:tcPr>
            <w:tcW w:type="dxa" w:w="2492"/>
          </w:tcPr>
          <w:p>
            <w:pPr>
              <w:pStyle w:val="null3"/>
            </w:pPr>
            <w:r>
              <w:rPr>
                <w:rFonts w:ascii="仿宋_GB2312" w:hAnsi="仿宋_GB2312" w:cs="仿宋_GB2312" w:eastAsia="仿宋_GB2312"/>
              </w:rPr>
              <w:t>针对本项目提供具体的安全作业方案及安全配套措施进行综合评审。 方案及措施符合并优于采购人安全作业的要求得10分； 方案及措施完全符合采购人安全作业的要求得8分； 方案及措施基本符合采购人安全作业的要求得6分； 方案及措施有缺漏项，不能完全符合采购人安全作业的要求得4分； 方案及措施内容粗略、不符合采购人安全作业的要求得2分； 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w:t>
            </w:r>
          </w:p>
        </w:tc>
      </w:tr>
      <w:tr>
        <w:tc>
          <w:tcPr>
            <w:tcW w:type="dxa" w:w="831"/>
            <w:vMerge/>
          </w:tcPr>
          <w:p/>
        </w:tc>
        <w:tc>
          <w:tcPr>
            <w:tcW w:type="dxa" w:w="1661"/>
          </w:tcPr>
          <w:p>
            <w:pPr>
              <w:pStyle w:val="null3"/>
            </w:pPr>
            <w:r>
              <w:rPr>
                <w:rFonts w:ascii="仿宋_GB2312" w:hAnsi="仿宋_GB2312" w:cs="仿宋_GB2312" w:eastAsia="仿宋_GB2312"/>
              </w:rPr>
              <w:t>环境保护、文明施工措施计划</w:t>
            </w:r>
          </w:p>
        </w:tc>
        <w:tc>
          <w:tcPr>
            <w:tcW w:type="dxa" w:w="2492"/>
          </w:tcPr>
          <w:p>
            <w:pPr>
              <w:pStyle w:val="null3"/>
            </w:pPr>
            <w:r>
              <w:rPr>
                <w:rFonts w:ascii="仿宋_GB2312" w:hAnsi="仿宋_GB2312" w:cs="仿宋_GB2312" w:eastAsia="仿宋_GB2312"/>
              </w:rPr>
              <w:t>针对本项目提供的文明施工和环境保护措施计划进行综合评审。 措施计划完备齐全、合理、切实可行得10分； 措施计划完备齐全、合理、基本可行得8分； 措施计划基本满足项目需求、合理性、可行性一般得6分； 措施计划有缺漏项，合理性、可行性较差得4分； 措施计划内容粗略、可行性较差，不能保证项目质量得2分； 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w:t>
            </w:r>
          </w:p>
        </w:tc>
      </w:tr>
      <w:tr>
        <w:tc>
          <w:tcPr>
            <w:tcW w:type="dxa" w:w="831"/>
            <w:vMerge/>
          </w:tcPr>
          <w:p/>
        </w:tc>
        <w:tc>
          <w:tcPr>
            <w:tcW w:type="dxa" w:w="1661"/>
          </w:tcPr>
          <w:p>
            <w:pPr>
              <w:pStyle w:val="null3"/>
            </w:pPr>
            <w:r>
              <w:rPr>
                <w:rFonts w:ascii="仿宋_GB2312" w:hAnsi="仿宋_GB2312" w:cs="仿宋_GB2312" w:eastAsia="仿宋_GB2312"/>
              </w:rPr>
              <w:t>质量控制措施</w:t>
            </w:r>
          </w:p>
        </w:tc>
        <w:tc>
          <w:tcPr>
            <w:tcW w:type="dxa" w:w="2492"/>
          </w:tcPr>
          <w:p>
            <w:pPr>
              <w:pStyle w:val="null3"/>
            </w:pPr>
            <w:r>
              <w:rPr>
                <w:rFonts w:ascii="仿宋_GB2312" w:hAnsi="仿宋_GB2312" w:cs="仿宋_GB2312" w:eastAsia="仿宋_GB2312"/>
              </w:rPr>
              <w:t>根据供应商制定的确保工程质量的组织措施进行综合评审。 措施计划完备齐全、合理、切实可行得10分； 措施计划完备齐全、合理、基本可行得8分； 措施计划基本满足项目需求、合理性、可行性一般得6分； 措施计划有缺漏项，合理性、可行性较差得4分； 措施计划内容粗略、可行性较差，不能保证项目质量得2分； 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w:t>
            </w:r>
          </w:p>
        </w:tc>
      </w:tr>
      <w:tr>
        <w:tc>
          <w:tcPr>
            <w:tcW w:type="dxa" w:w="831"/>
            <w:vMerge/>
          </w:tcPr>
          <w:p/>
        </w:tc>
        <w:tc>
          <w:tcPr>
            <w:tcW w:type="dxa" w:w="1661"/>
          </w:tcPr>
          <w:p>
            <w:pPr>
              <w:pStyle w:val="null3"/>
            </w:pPr>
            <w:r>
              <w:rPr>
                <w:rFonts w:ascii="仿宋_GB2312" w:hAnsi="仿宋_GB2312" w:cs="仿宋_GB2312" w:eastAsia="仿宋_GB2312"/>
              </w:rPr>
              <w:t>项目组织管理机构</w:t>
            </w:r>
          </w:p>
        </w:tc>
        <w:tc>
          <w:tcPr>
            <w:tcW w:type="dxa" w:w="2492"/>
          </w:tcPr>
          <w:p>
            <w:pPr>
              <w:pStyle w:val="null3"/>
            </w:pPr>
            <w:r>
              <w:rPr>
                <w:rFonts w:ascii="仿宋_GB2312" w:hAnsi="仿宋_GB2312" w:cs="仿宋_GB2312" w:eastAsia="仿宋_GB2312"/>
              </w:rPr>
              <w:t>针对本项目的项目组织管理机构配备进行综合评审。 ①（满分6分）拟派项目团队须包括以下人员：项目经理、技术负责人、安全员、施工员、资料员、质量员共6人，每有1人完全满足要求得1分，满分6分。（须提供人员资格证书、职称证、身份证复印件或扫描件、截止开标前6个月任意一个月的社保证明等佐证材料）； ②（满分3分）施工操作人员须具有相关行政部门颁发的电工、焊工资格证书，每提供1人得1分，最多得3分（须提供包括但不限于证书扫描件或复印件、身份证复印件或扫描件、截止开标前6个月任意一个月的社保证明等佐证材料）</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根据供应商投入的施工机械配备和材料投入计划等进行评审。 施工机械配备齐全、合理，主要材料来源渠道证明材料完整，材料环保性好得7分； 施工机械配备较齐全，满足项目需求，主要材料来源渠道证明材料完整，材料环保性较好得5分； 施工机械配备简单，主要材料来源渠道证明材料有缺漏项，材料环保性一般得3分； 施工机械配备不足，主要材料无来源渠道证明材料，材料环保性差得1分； 未提供得0分。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w:t>
            </w:r>
          </w:p>
        </w:tc>
      </w:tr>
      <w:tr>
        <w:tc>
          <w:tcPr>
            <w:tcW w:type="dxa" w:w="831"/>
            <w:vMerge/>
          </w:tcPr>
          <w:p/>
        </w:tc>
        <w:tc>
          <w:tcPr>
            <w:tcW w:type="dxa" w:w="1661"/>
          </w:tcPr>
          <w:p>
            <w:pPr>
              <w:pStyle w:val="null3"/>
            </w:pPr>
            <w:r>
              <w:rPr>
                <w:rFonts w:ascii="仿宋_GB2312" w:hAnsi="仿宋_GB2312" w:cs="仿宋_GB2312" w:eastAsia="仿宋_GB2312"/>
              </w:rPr>
              <w:t>确保工期的技术及组 织安排</w:t>
            </w:r>
          </w:p>
        </w:tc>
        <w:tc>
          <w:tcPr>
            <w:tcW w:type="dxa" w:w="2492"/>
          </w:tcPr>
          <w:p>
            <w:pPr>
              <w:pStyle w:val="null3"/>
            </w:pPr>
            <w:r>
              <w:rPr>
                <w:rFonts w:ascii="仿宋_GB2312" w:hAnsi="仿宋_GB2312" w:cs="仿宋_GB2312" w:eastAsia="仿宋_GB2312"/>
              </w:rPr>
              <w:t>根据供应商确保工期的技术及组 织安排进行评审。 确保工期技术组织措施总体思路清晰、合理、可执行程度强，且能很好推动项目实施得7分； 组织措施思路较清晰、可行性、合理性较强得6分； 组织措施思路较清晰、可行性、合理性一般得5分； 组织措施思路模糊、可行性、合理性一般得3分； 组织措施思路模糊、有缺漏项，不能保证项目工期得1分； 未提供得0分。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w:t>
            </w:r>
          </w:p>
        </w:tc>
      </w:tr>
      <w:tr>
        <w:tc>
          <w:tcPr>
            <w:tcW w:type="dxa" w:w="831"/>
            <w:vMerge/>
          </w:tcPr>
          <w:p/>
        </w:tc>
        <w:tc>
          <w:tcPr>
            <w:tcW w:type="dxa" w:w="1661"/>
          </w:tcPr>
          <w:p>
            <w:pPr>
              <w:pStyle w:val="null3"/>
            </w:pPr>
            <w:r>
              <w:rPr>
                <w:rFonts w:ascii="仿宋_GB2312" w:hAnsi="仿宋_GB2312" w:cs="仿宋_GB2312" w:eastAsia="仿宋_GB2312"/>
              </w:rPr>
              <w:t>售后服务承诺</w:t>
            </w:r>
          </w:p>
        </w:tc>
        <w:tc>
          <w:tcPr>
            <w:tcW w:type="dxa" w:w="2492"/>
          </w:tcPr>
          <w:p>
            <w:pPr>
              <w:pStyle w:val="null3"/>
            </w:pPr>
            <w:r>
              <w:rPr>
                <w:rFonts w:ascii="仿宋_GB2312" w:hAnsi="仿宋_GB2312" w:cs="仿宋_GB2312" w:eastAsia="仿宋_GB2312"/>
              </w:rPr>
              <w:t>针对本项目提供可行的、并符合国家相关规范的售后保障工作服务承诺，提供售后团队人员基本信息和相关资格证书，具有详细的服务措施及对维修服务响应时限有明确的承诺。 售后服务承诺完善、团队配备科学合理、响应快速得7分； 售后服务承诺较完善、团队人员配备较合理、响应速度较快得5分； 售后服务承诺简略、团队人员配备较合理、响应速度一般得3分； 售后服务承诺有缺漏项、团队人员配备不齐全、响应速度慢得1分； 未提供得0分。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2023年3月1日起至今，供应商承担的同类项目业绩（以响应文件中签订日期为准），每提供1份有效业绩得2分，最多得10分。 业绩要求：每个业绩须提供合同关键页（包括但不限于合同首页、项目信息页、金额页、双方签字盖章页等内容），未完整提供上述材料或所提供内容模糊不清、或不能体现符合要求的该业绩不得分。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供应商业绩</w:t>
            </w:r>
          </w:p>
        </w:tc>
      </w:tr>
      <w:tr>
        <w:tc>
          <w:tcPr>
            <w:tcW w:type="dxa" w:w="831"/>
            <w:vMerge/>
          </w:tcP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最低价优先法，即实质性满足磋商文件要求且最终磋商报价最低的为磋商基准价，其价格分为满分20分。其他供应商的价格分按照下列公式计算：磋商报价得分=(磋商基准价/磋商报价)×20。计算结果最多保留两位小数。</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w:t>
      </w:r>
    </w:p>
    <w:p>
      <w:pPr>
        <w:pStyle w:val="null3"/>
        <w:ind w:firstLine="960"/>
      </w:pPr>
      <w:r>
        <w:rPr>
          <w:rFonts w:ascii="仿宋_GB2312" w:hAnsi="仿宋_GB2312" w:cs="仿宋_GB2312" w:eastAsia="仿宋_GB2312"/>
        </w:rPr>
        <w:t>详见附件：企业关联关系声明函</w:t>
      </w:r>
    </w:p>
    <w:p>
      <w:pPr>
        <w:pStyle w:val="null3"/>
        <w:ind w:firstLine="960"/>
      </w:pPr>
      <w:r>
        <w:rPr>
          <w:rFonts w:ascii="仿宋_GB2312" w:hAnsi="仿宋_GB2312" w:cs="仿宋_GB2312" w:eastAsia="仿宋_GB2312"/>
        </w:rPr>
        <w:t>详见附件：磋商方案</w:t>
      </w:r>
    </w:p>
    <w:p>
      <w:pPr>
        <w:pStyle w:val="null3"/>
        <w:ind w:firstLine="960"/>
      </w:pPr>
      <w:r>
        <w:rPr>
          <w:rFonts w:ascii="仿宋_GB2312" w:hAnsi="仿宋_GB2312" w:cs="仿宋_GB2312" w:eastAsia="仿宋_GB2312"/>
        </w:rPr>
        <w:t>详见附件：供应商业绩</w:t>
      </w:r>
    </w:p>
    <w:p>
      <w:pPr>
        <w:pStyle w:val="null3"/>
        <w:ind w:firstLine="960"/>
      </w:pPr>
      <w:r>
        <w:rPr>
          <w:rFonts w:ascii="仿宋_GB2312" w:hAnsi="仿宋_GB2312" w:cs="仿宋_GB2312" w:eastAsia="仿宋_GB2312"/>
        </w:rPr>
        <w:t>详见附件：其他材料</w:t>
      </w:r>
    </w:p>
    <w:p>
      <w:pPr>
        <w:pStyle w:val="null3"/>
        <w:ind w:firstLine="960"/>
      </w:pPr>
      <w:r>
        <w:rPr>
          <w:rFonts w:ascii="仿宋_GB2312" w:hAnsi="仿宋_GB2312" w:cs="仿宋_GB2312" w:eastAsia="仿宋_GB2312"/>
        </w:rPr>
        <w:t>详见附件：商务响应偏离表</w:t>
      </w:r>
    </w:p>
    <w:p>
      <w:pPr>
        <w:pStyle w:val="null3"/>
        <w:ind w:firstLine="960"/>
      </w:pPr>
      <w:r>
        <w:rPr>
          <w:rFonts w:ascii="仿宋_GB2312" w:hAnsi="仿宋_GB2312" w:cs="仿宋_GB2312" w:eastAsia="仿宋_GB2312"/>
        </w:rPr>
        <w:t>详见附件：拒绝政府采购领域商业贿赂承诺书</w:t>
      </w:r>
    </w:p>
    <w:p>
      <w:pPr>
        <w:pStyle w:val="null3"/>
        <w:ind w:firstLine="960"/>
      </w:pPr>
      <w:r>
        <w:rPr>
          <w:rFonts w:ascii="仿宋_GB2312" w:hAnsi="仿宋_GB2312" w:cs="仿宋_GB2312" w:eastAsia="仿宋_GB2312"/>
        </w:rPr>
        <w:t>详见附件：供应商基本信息</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