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A6EFC">
      <w:pPr>
        <w:pStyle w:val="4"/>
        <w:numPr>
          <w:ilvl w:val="0"/>
          <w:numId w:val="0"/>
        </w:numPr>
        <w:jc w:val="center"/>
        <w:outlineLvl w:val="1"/>
        <w:rPr>
          <w:rFonts w:hint="eastAsia" w:ascii="宋体" w:hAnsi="宋体" w:eastAsia="宋体" w:cs="宋体"/>
          <w:b/>
          <w:bCs/>
          <w:color w:val="000000" w:themeColor="text1"/>
          <w:sz w:val="28"/>
          <w:szCs w:val="28"/>
          <w:lang w:val="en-US"/>
          <w14:textFill>
            <w14:solidFill>
              <w14:schemeClr w14:val="tx1"/>
            </w14:solidFill>
          </w14:textFill>
        </w:rPr>
      </w:pPr>
      <w:bookmarkStart w:id="0" w:name="_GoBack"/>
      <w:bookmarkEnd w:id="0"/>
      <w:r>
        <w:rPr>
          <w:rFonts w:hint="eastAsia" w:ascii="宋体" w:hAnsi="宋体" w:eastAsia="宋体" w:cs="宋体"/>
          <w:b/>
          <w:bCs/>
          <w:color w:val="000000" w:themeColor="text1"/>
          <w:sz w:val="28"/>
          <w:szCs w:val="28"/>
          <w:lang w:eastAsia="zh-CN"/>
          <w14:textFill>
            <w14:solidFill>
              <w14:schemeClr w14:val="tx1"/>
            </w14:solidFill>
          </w14:textFill>
        </w:rPr>
        <w:t>高速公路通信系统运维项目</w:t>
      </w:r>
      <w:r>
        <w:rPr>
          <w:rFonts w:hint="eastAsia" w:ascii="宋体" w:hAnsi="宋体" w:eastAsia="宋体" w:cs="宋体"/>
          <w:b/>
          <w:bCs/>
          <w:color w:val="000000" w:themeColor="text1"/>
          <w:sz w:val="28"/>
          <w:szCs w:val="28"/>
          <w:lang w:val="en-US" w:eastAsia="zh-CN"/>
          <w14:textFill>
            <w14:solidFill>
              <w14:schemeClr w14:val="tx1"/>
            </w14:solidFill>
          </w14:textFill>
        </w:rPr>
        <w:t>服务合同</w:t>
      </w:r>
    </w:p>
    <w:p w14:paraId="4E065915">
      <w:pPr>
        <w:spacing w:line="360" w:lineRule="auto"/>
        <w:ind w:firstLine="480" w:firstLineChars="200"/>
        <w:jc w:val="center"/>
        <w:rPr>
          <w:rFonts w:hint="eastAsia" w:ascii="宋体" w:hAnsi="宋体" w:eastAsia="宋体" w:cs="宋体"/>
          <w:color w:val="000000" w:themeColor="text1"/>
          <w:kern w:val="0"/>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（此合同样本仅供参考，合同具体细则以双方协定为准）</w:t>
      </w:r>
    </w:p>
    <w:p w14:paraId="1D20B509">
      <w:pPr>
        <w:spacing w:line="480" w:lineRule="auto"/>
        <w:jc w:val="both"/>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甲方：</w:t>
      </w:r>
      <w:r>
        <w:rPr>
          <w:rFonts w:hint="eastAsia" w:ascii="宋体" w:hAnsi="宋体" w:eastAsia="宋体" w:cs="宋体"/>
          <w:b/>
          <w:bCs/>
          <w:color w:val="000000" w:themeColor="text1"/>
          <w:sz w:val="24"/>
          <w:u w:val="single"/>
          <w:lang w:val="en-US" w:eastAsia="zh-CN"/>
          <w14:textFill>
            <w14:solidFill>
              <w14:schemeClr w14:val="tx1"/>
            </w14:solidFill>
          </w14:textFill>
        </w:rPr>
        <w:t>陕西省高速公路收费中心</w:t>
      </w:r>
    </w:p>
    <w:p w14:paraId="29AE307F">
      <w:pPr>
        <w:widowControl/>
        <w:autoSpaceDE w:val="0"/>
        <w:autoSpaceDN w:val="0"/>
        <w:adjustRightInd w:val="0"/>
        <w:snapToGrid w:val="0"/>
        <w:spacing w:line="360" w:lineRule="auto"/>
        <w:textAlignment w:val="baseline"/>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乙方：</w:t>
      </w:r>
    </w:p>
    <w:p w14:paraId="4F03FBE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0"/>
          <w:szCs w:val="20"/>
          <w:lang w:val="en-US" w:eastAsia="zh-Hans"/>
        </w:rPr>
        <w:t>根据《中华人民共和国民法典》、《中华人民共和国政府采购法》及</w:t>
      </w:r>
      <w:r>
        <w:rPr>
          <w:rFonts w:hint="eastAsia" w:ascii="宋体" w:hAnsi="宋体" w:eastAsia="宋体" w:cs="宋体"/>
          <w:sz w:val="20"/>
          <w:szCs w:val="20"/>
          <w:lang w:val="en-US" w:eastAsia="zh-CN"/>
        </w:rPr>
        <w:t>其</w:t>
      </w:r>
      <w:r>
        <w:rPr>
          <w:rFonts w:hint="eastAsia" w:ascii="宋体" w:hAnsi="宋体" w:eastAsia="宋体" w:cs="宋体"/>
          <w:sz w:val="20"/>
          <w:szCs w:val="20"/>
          <w:lang w:val="en-US" w:eastAsia="zh-Hans"/>
        </w:rPr>
        <w:t>实施条例</w:t>
      </w:r>
      <w:r>
        <w:rPr>
          <w:rFonts w:hint="eastAsia" w:ascii="宋体" w:hAnsi="宋体" w:eastAsia="宋体" w:cs="宋体"/>
          <w:sz w:val="20"/>
          <w:szCs w:val="20"/>
          <w:lang w:val="en-US" w:eastAsia="zh-CN"/>
        </w:rPr>
        <w:t>、高速公路通信系统运维项目</w:t>
      </w:r>
      <w:r>
        <w:rPr>
          <w:rFonts w:hint="eastAsia" w:ascii="宋体" w:hAnsi="宋体" w:eastAsia="宋体" w:cs="宋体"/>
          <w:sz w:val="20"/>
          <w:szCs w:val="20"/>
          <w:lang w:val="en-US" w:eastAsia="zh-Hans"/>
        </w:rPr>
        <w:t>（项目编号：LZBE2026-214）的</w:t>
      </w:r>
      <w:r>
        <w:rPr>
          <w:rFonts w:hint="eastAsia" w:ascii="宋体" w:hAnsi="宋体" w:cs="宋体"/>
          <w:sz w:val="20"/>
          <w:szCs w:val="20"/>
          <w:lang w:val="en-US" w:eastAsia="zh-CN"/>
        </w:rPr>
        <w:t>磋商</w:t>
      </w:r>
      <w:r>
        <w:rPr>
          <w:rFonts w:hint="eastAsia" w:ascii="宋体" w:hAnsi="宋体" w:eastAsia="宋体" w:cs="宋体"/>
          <w:sz w:val="20"/>
          <w:szCs w:val="20"/>
          <w:lang w:val="en-US" w:eastAsia="zh-Hans"/>
        </w:rPr>
        <w:t>文件、</w:t>
      </w:r>
      <w:r>
        <w:rPr>
          <w:rFonts w:hint="eastAsia" w:ascii="宋体" w:hAnsi="宋体" w:cs="宋体"/>
          <w:sz w:val="20"/>
          <w:szCs w:val="20"/>
          <w:lang w:val="en-US" w:eastAsia="zh-CN"/>
        </w:rPr>
        <w:t>响应</w:t>
      </w:r>
      <w:r>
        <w:rPr>
          <w:rFonts w:hint="eastAsia" w:ascii="宋体" w:hAnsi="宋体" w:eastAsia="宋体" w:cs="宋体"/>
          <w:sz w:val="20"/>
          <w:szCs w:val="20"/>
          <w:lang w:val="en-US" w:eastAsia="zh-Hans"/>
        </w:rPr>
        <w:t>文件等有关规定，为确保甲方采购项目的顺利实施，甲、乙双方在平等自愿原则下签订本合同，并共同遵守如下条款：</w:t>
      </w:r>
    </w:p>
    <w:p w14:paraId="0ED85A35">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u w:val="single"/>
          <w:lang w:eastAsia="zh-CN"/>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一、服务内容：</w:t>
      </w:r>
    </w:p>
    <w:p w14:paraId="37D1E134">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二、合同价款</w:t>
      </w:r>
    </w:p>
    <w:p w14:paraId="435A905D">
      <w:pPr>
        <w:widowControl/>
        <w:autoSpaceDE w:val="0"/>
        <w:autoSpaceDN w:val="0"/>
        <w:adjustRightInd w:val="0"/>
        <w:snapToGrid w:val="0"/>
        <w:spacing w:line="360" w:lineRule="auto"/>
        <w:ind w:firstLine="400" w:firstLineChars="200"/>
        <w:textAlignment w:val="baseline"/>
        <w:rPr>
          <w:rFonts w:hint="eastAsia" w:ascii="宋体" w:hAnsi="宋体" w:eastAsia="宋体" w:cs="宋体"/>
          <w:sz w:val="20"/>
          <w:szCs w:val="20"/>
          <w:lang w:val="en-US" w:eastAsia="zh-Hans"/>
        </w:rPr>
      </w:pPr>
      <w:r>
        <w:rPr>
          <w:rFonts w:hint="eastAsia" w:ascii="宋体" w:hAnsi="宋体" w:eastAsia="宋体" w:cs="宋体"/>
          <w:sz w:val="20"/>
          <w:szCs w:val="20"/>
          <w:lang w:val="en-US" w:eastAsia="zh-Hans"/>
        </w:rPr>
        <w:t>（一）合同总价款为人民币（大写）         (￥          ) 。</w:t>
      </w:r>
    </w:p>
    <w:p w14:paraId="3CF897A2">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lang w:val="en-US" w:eastAsia="zh-Hans"/>
        </w:rPr>
        <w:t>（二）合同总价包括但不限于实施费用、其他费用以及国家按现行税率征收的一切税费。</w:t>
      </w:r>
    </w:p>
    <w:p w14:paraId="496900BE">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lang w:val="en-US" w:eastAsia="zh-Hans"/>
        </w:rPr>
        <w:t>（三）合同总价一次性包死</w:t>
      </w:r>
      <w:r>
        <w:rPr>
          <w:rFonts w:hint="eastAsia" w:ascii="宋体" w:hAnsi="宋体" w:eastAsia="宋体" w:cs="宋体"/>
          <w:color w:val="000000" w:themeColor="text1"/>
          <w:sz w:val="20"/>
          <w:szCs w:val="20"/>
          <w14:textFill>
            <w14:solidFill>
              <w14:schemeClr w14:val="tx1"/>
            </w14:solidFill>
          </w14:textFill>
        </w:rPr>
        <w:t>。</w:t>
      </w:r>
    </w:p>
    <w:p w14:paraId="3547DC26">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三、付款方式</w:t>
      </w:r>
    </w:p>
    <w:p w14:paraId="69CD61A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（一）</w:t>
      </w:r>
    </w:p>
    <w:p w14:paraId="67C1E7F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（二）支付方式：银行转账。</w:t>
      </w:r>
    </w:p>
    <w:p w14:paraId="2CE76CF5">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（三）结算方式：乙方在接受付款前开具等额合法有效的发票给甲方。</w:t>
      </w:r>
    </w:p>
    <w:p w14:paraId="3CF869EA">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四</w:t>
      </w:r>
      <w:r>
        <w:rPr>
          <w:rFonts w:hint="eastAsia" w:ascii="宋体" w:hAnsi="宋体" w:eastAsia="宋体" w:cs="宋体"/>
          <w:b/>
          <w:bCs/>
          <w:color w:val="000000" w:themeColor="text1"/>
          <w:sz w:val="20"/>
          <w:szCs w:val="20"/>
          <w14:textFill>
            <w14:solidFill>
              <w14:schemeClr w14:val="tx1"/>
            </w14:solidFill>
          </w14:textFill>
        </w:rPr>
        <w:t>、</w:t>
      </w:r>
      <w:r>
        <w:rPr>
          <w:rFonts w:hint="eastAsia" w:ascii="宋体" w:hAnsi="宋体" w:eastAsia="宋体" w:cs="宋体"/>
          <w:b/>
          <w:bCs/>
          <w:color w:val="000000" w:themeColor="text1"/>
          <w:sz w:val="20"/>
          <w:szCs w:val="20"/>
          <w:shd w:val="clear" w:color="auto" w:fill="FFFFFF"/>
          <w14:textFill>
            <w14:solidFill>
              <w14:schemeClr w14:val="tx1"/>
            </w14:solidFill>
          </w14:textFill>
        </w:rPr>
        <w:t>服务期：</w:t>
      </w:r>
    </w:p>
    <w:p w14:paraId="66C50B47">
      <w:pPr>
        <w:widowControl/>
        <w:autoSpaceDE w:val="0"/>
        <w:autoSpaceDN w:val="0"/>
        <w:adjustRightInd w:val="0"/>
        <w:snapToGrid w:val="0"/>
        <w:spacing w:line="360" w:lineRule="auto"/>
        <w:ind w:firstLine="402"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五、服务</w:t>
      </w:r>
      <w:r>
        <w:rPr>
          <w:rFonts w:hint="eastAsia" w:ascii="宋体" w:hAnsi="宋体" w:eastAsia="宋体" w:cs="宋体"/>
          <w:b/>
          <w:bCs/>
          <w:color w:val="000000" w:themeColor="text1"/>
          <w:sz w:val="20"/>
          <w:szCs w:val="20"/>
          <w14:textFill>
            <w14:solidFill>
              <w14:schemeClr w14:val="tx1"/>
            </w14:solidFill>
          </w14:textFill>
        </w:rPr>
        <w:t>地点：</w:t>
      </w:r>
      <w:r>
        <w:rPr>
          <w:rFonts w:hint="eastAsia" w:ascii="宋体" w:hAnsi="宋体" w:eastAsia="宋体" w:cs="宋体"/>
          <w:b w:val="0"/>
          <w:bCs w:val="0"/>
          <w:color w:val="000000" w:themeColor="text1"/>
          <w:sz w:val="20"/>
          <w:szCs w:val="20"/>
          <w:shd w:val="clear" w:color="auto" w:fill="FFFFFF"/>
          <w:lang w:val="en-US" w:eastAsia="zh-CN"/>
          <w14:textFill>
            <w14:solidFill>
              <w14:schemeClr w14:val="tx1"/>
            </w14:solidFill>
          </w14:textFill>
        </w:rPr>
        <w:t>陕西省高速公路收费中心</w:t>
      </w:r>
      <w:r>
        <w:rPr>
          <w:rFonts w:hint="eastAsia" w:ascii="宋体" w:hAnsi="宋体" w:eastAsia="宋体" w:cs="宋体"/>
          <w:b w:val="0"/>
          <w:bCs w:val="0"/>
          <w:color w:val="000000" w:themeColor="text1"/>
          <w:sz w:val="20"/>
          <w:szCs w:val="20"/>
          <w:lang w:val="en-US" w:eastAsia="zh-CN"/>
          <w14:textFill>
            <w14:solidFill>
              <w14:schemeClr w14:val="tx1"/>
            </w14:solidFill>
          </w14:textFill>
        </w:rPr>
        <w:t>。</w:t>
      </w:r>
    </w:p>
    <w:p w14:paraId="0D66CB8A">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六、</w:t>
      </w:r>
      <w:r>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t>服务承诺：</w:t>
      </w:r>
    </w:p>
    <w:p w14:paraId="451D2B83">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乙方需派一名项目经理：姓名：</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u w:val="none"/>
          <w:shd w:val="clear" w:color="auto" w:fill="FFFFFF"/>
          <w:lang w:val="en-US" w:eastAsia="zh-CN" w:bidi="ar-SA"/>
          <w14:textFill>
            <w14:solidFill>
              <w14:schemeClr w14:val="tx1"/>
            </w14:solidFill>
          </w14:textFill>
        </w:rPr>
        <w:t>性别：</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u w:val="none"/>
          <w:shd w:val="clear" w:color="auto" w:fill="FFFFFF"/>
          <w:lang w:val="en-US" w:eastAsia="zh-CN" w:bidi="ar-SA"/>
          <w14:textFill>
            <w14:solidFill>
              <w14:schemeClr w14:val="tx1"/>
            </w14:solidFill>
          </w14:textFill>
        </w:rPr>
        <w:t>联系电话：</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，直接与甲方沟通，项目经理接收甲方提出的问题与要求，并及时向公司申请调动资源，解决在项目实施过程中遇到的问题。</w:t>
      </w:r>
    </w:p>
    <w:p w14:paraId="2E4B0011">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t>七、质量保证</w:t>
      </w:r>
    </w:p>
    <w:p w14:paraId="27C9CD57">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所有内容按照国家相关规范及标准，确保达到甲方要求。</w:t>
      </w:r>
    </w:p>
    <w:p w14:paraId="2F750BC7">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八、其它事项</w:t>
      </w:r>
    </w:p>
    <w:p w14:paraId="4F0423EC">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（一）乙方不得转让、分包给其它单位或个人。</w:t>
      </w:r>
    </w:p>
    <w:p w14:paraId="0BDC7957">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（二）乙方的响应文件和承诺等内容将列入合同。</w:t>
      </w:r>
    </w:p>
    <w:p w14:paraId="28002AD7">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九、违约责任</w:t>
      </w:r>
    </w:p>
    <w:p w14:paraId="5141A5BE">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（一）按</w:t>
      </w:r>
      <w:r>
        <w:rPr>
          <w:rFonts w:hint="eastAsia" w:ascii="宋体" w:hAnsi="宋体" w:eastAsia="宋体" w:cs="宋体"/>
          <w:color w:val="000000" w:themeColor="text1"/>
          <w:kern w:val="2"/>
          <w:sz w:val="20"/>
          <w:szCs w:val="20"/>
          <w:lang w:val="en-US" w:eastAsia="zh-CN" w:bidi="ar-SA"/>
          <w14:textFill>
            <w14:solidFill>
              <w14:schemeClr w14:val="tx1"/>
            </w14:solidFill>
          </w14:textFill>
        </w:rPr>
        <w:t>《中华人民共和国民法典》</w:t>
      </w: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中的相关条款执行。</w:t>
      </w:r>
    </w:p>
    <w:p w14:paraId="0C9E215F">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shd w:val="clear" w:color="auto" w:fill="FFFFFF"/>
          <w14:textFill>
            <w14:solidFill>
              <w14:schemeClr w14:val="tx1"/>
            </w14:solidFill>
          </w14:textFill>
        </w:rPr>
        <w:t>（二）</w:t>
      </w:r>
      <w:r>
        <w:rPr>
          <w:rFonts w:hint="eastAsia" w:ascii="宋体" w:hAnsi="宋体" w:eastAsia="宋体" w:cs="宋体"/>
          <w:color w:val="000000" w:themeColor="text1"/>
          <w:sz w:val="20"/>
          <w:szCs w:val="20"/>
          <w14:textFill>
            <w14:solidFill>
              <w14:schemeClr w14:val="tx1"/>
            </w14:solidFill>
          </w14:textFill>
        </w:rPr>
        <w:t>按合同要求提供服务或服务质量不能满足采购技术要求，甲方有权要求乙方整改或完善，乙方必须无条件提高技术，完善服务质量。否则，甲方有权会同监督机构、采购代理机构终止本合同并追究乙方违约的责任，同时按政府采购投标人管理办法进行相应的处罚，给甲方造成损失的还应承担因此造成的所有损失。</w:t>
      </w:r>
    </w:p>
    <w:p w14:paraId="443D26DD">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三</w:t>
      </w: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14:textFill>
            <w14:solidFill>
              <w14:schemeClr w14:val="tx1"/>
            </w14:solidFill>
          </w14:textFill>
        </w:rPr>
        <w:t>任何一方因不可抗力原因不能履行协议时，应尽快通知对方，双方均设法补偿。如仍无法履约协议，可协商延缓或撤销协议，双方责任免除。</w:t>
      </w:r>
    </w:p>
    <w:p w14:paraId="3D9D22A6">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四</w:t>
      </w:r>
      <w:r>
        <w:rPr>
          <w:rFonts w:hint="eastAsia" w:ascii="宋体" w:hAnsi="宋体" w:eastAsia="宋体" w:cs="宋体"/>
          <w:color w:val="000000" w:themeColor="text1"/>
          <w:sz w:val="20"/>
          <w:szCs w:val="20"/>
          <w:lang w:eastAsia="zh-CN"/>
          <w14:textFill>
            <w14:solidFill>
              <w14:schemeClr w14:val="tx1"/>
            </w14:solidFill>
          </w14:textFill>
        </w:rPr>
        <w:t>）1.因供应商原因，未及时提交通信系统维护资料的每次扣除维护服务费500元，从当期维护服务费中扣除。</w:t>
      </w:r>
    </w:p>
    <w:p w14:paraId="3ABA2795">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2.出现下列情况,每次扣除维护服务费1000元，从当期维护服务费中扣除。</w:t>
      </w:r>
    </w:p>
    <w:p w14:paraId="2BF69273">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（1）供应商提供通信维护服务，应做好巡检和维护记录，因巡检不到位造成故障不能及时发现处置。</w:t>
      </w:r>
    </w:p>
    <w:p w14:paraId="352E47B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（2）因通信系统引发的故障，务必做好故障处理等工作，因故障处理不及时，导致系统故障并影响业务运行。</w:t>
      </w:r>
    </w:p>
    <w:p w14:paraId="7D12D826">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（3）因供应商原因造成的链路故障并影响业务运行。</w:t>
      </w:r>
    </w:p>
    <w:p w14:paraId="2503C250">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3.维护系统的设备（软件）出现弱口令，发现1个弱口令，扣除维护服务费5000元，从当期维护服务费中扣除。</w:t>
      </w:r>
    </w:p>
    <w:p w14:paraId="700ABBDC">
      <w:pPr>
        <w:widowControl/>
        <w:autoSpaceDE w:val="0"/>
        <w:autoSpaceDN w:val="0"/>
        <w:adjustRightInd w:val="0"/>
        <w:snapToGrid w:val="0"/>
        <w:spacing w:line="360" w:lineRule="auto"/>
        <w:ind w:firstLine="400" w:firstLineChars="200"/>
        <w:textAlignment w:val="baseline"/>
        <w:rPr>
          <w:rFonts w:hint="eastAsia" w:eastAsia="宋体"/>
          <w:lang w:eastAsia="zh-CN"/>
        </w:rPr>
      </w:pPr>
      <w:r>
        <w:rPr>
          <w:rFonts w:hint="eastAsia" w:ascii="宋体" w:hAnsi="宋体" w:eastAsia="宋体" w:cs="宋体"/>
          <w:color w:val="000000" w:themeColor="text1"/>
          <w:sz w:val="20"/>
          <w:szCs w:val="20"/>
          <w:lang w:eastAsia="zh-CN"/>
          <w14:textFill>
            <w14:solidFill>
              <w14:schemeClr w14:val="tx1"/>
            </w14:solidFill>
          </w14:textFill>
        </w:rPr>
        <w:t>4.因供应商原因，导致合同无法按时签订的，视为对项目的自动放弃，采购方有权取消供应商的中标或成交资格、并有权依据采购文件中的约定及相关法律规定，追究供应商的违约责任。</w:t>
      </w:r>
    </w:p>
    <w:p w14:paraId="68DBF74E">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十</w:t>
      </w:r>
      <w:r>
        <w:rPr>
          <w:rFonts w:hint="eastAsia" w:ascii="宋体" w:hAnsi="宋体" w:eastAsia="宋体" w:cs="宋体"/>
          <w:b/>
          <w:bCs/>
          <w:color w:val="000000" w:themeColor="text1"/>
          <w:sz w:val="20"/>
          <w:szCs w:val="20"/>
          <w14:textFill>
            <w14:solidFill>
              <w14:schemeClr w14:val="tx1"/>
            </w14:solidFill>
          </w14:textFill>
        </w:rPr>
        <w:t>、保密规定</w:t>
      </w:r>
    </w:p>
    <w:p w14:paraId="0903419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w:t>
      </w:r>
      <w:r>
        <w:rPr>
          <w:rFonts w:hint="eastAsia" w:ascii="宋体" w:hAnsi="宋体" w:eastAsia="宋体" w:cs="宋体"/>
          <w:color w:val="000000" w:themeColor="text1"/>
          <w:sz w:val="20"/>
          <w:szCs w:val="20"/>
          <w14:textFill>
            <w14:solidFill>
              <w14:schemeClr w14:val="tx1"/>
            </w14:solidFill>
          </w14:textFill>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1417BDA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2.保密要求</w:t>
      </w:r>
    </w:p>
    <w:p w14:paraId="1E471C5D">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项目实施过程中所收集、产生的所有与本项目相关的文档、资料，包括文字、图片、表格、数字、数据等各种形式所属权均归属省收费中心，服务商必须对获悉的保密信息负有完全和严格的保密义务，服务商及服务人员应按照要求签署保密协议。未经省收费中心事先书面同意，服务商不得传输、复制、转让、泄露信息至非交易所属单位。</w:t>
      </w:r>
    </w:p>
    <w:p w14:paraId="15823712">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十一、合同争议解决的方式</w:t>
      </w:r>
    </w:p>
    <w:p w14:paraId="1BD357B4">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本合同在履行过程中发生争议的，由甲、乙双方协商解决，协商不成的，双方同意提交甲方所在地人民法院裁决。</w:t>
      </w:r>
    </w:p>
    <w:p w14:paraId="0689270A">
      <w:pPr>
        <w:keepNext w:val="0"/>
        <w:keepLines w:val="0"/>
        <w:pageBreakBefore w:val="0"/>
        <w:widowControl w:val="0"/>
        <w:numPr>
          <w:ilvl w:val="0"/>
          <w:numId w:val="0"/>
        </w:numPr>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十二、其他事项</w:t>
      </w:r>
    </w:p>
    <w:p w14:paraId="4739DEF6">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lang w:val="en-US" w:eastAsia="zh-CN" w:bidi="ar-SA"/>
          <w14:textFill>
            <w14:solidFill>
              <w14:schemeClr w14:val="tx1"/>
            </w14:solidFill>
          </w14:textFill>
        </w:rPr>
        <w:t>1、本项目不允许分包。</w:t>
      </w:r>
    </w:p>
    <w:p w14:paraId="1BE2EB5F">
      <w:pPr>
        <w:keepNext w:val="0"/>
        <w:keepLines w:val="0"/>
        <w:pageBreakBefore w:val="0"/>
        <w:widowControl w:val="0"/>
        <w:kinsoku/>
        <w:wordWrap/>
        <w:overflowPunct/>
        <w:topLinePunct w:val="0"/>
        <w:bidi w:val="0"/>
        <w:snapToGrid w:val="0"/>
        <w:spacing w:line="360" w:lineRule="auto"/>
        <w:ind w:left="-2" w:leftChars="-1" w:firstLine="400"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2、本合同一式捌份，甲方执</w:t>
      </w: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肆</w:t>
      </w:r>
      <w:r>
        <w:rPr>
          <w:rFonts w:hint="eastAsia" w:ascii="宋体" w:hAnsi="宋体" w:eastAsia="宋体" w:cs="宋体"/>
          <w:color w:val="000000" w:themeColor="text1"/>
          <w:kern w:val="2"/>
          <w:sz w:val="20"/>
          <w:szCs w:val="20"/>
          <w:lang w:val="en-US" w:eastAsia="zh-CN" w:bidi="ar-SA"/>
          <w14:textFill>
            <w14:solidFill>
              <w14:schemeClr w14:val="tx1"/>
            </w14:solidFill>
          </w14:textFill>
        </w:rPr>
        <w:t>份，乙方执</w:t>
      </w: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肆</w:t>
      </w:r>
      <w:r>
        <w:rPr>
          <w:rFonts w:hint="eastAsia" w:ascii="宋体" w:hAnsi="宋体" w:eastAsia="宋体" w:cs="宋体"/>
          <w:color w:val="000000" w:themeColor="text1"/>
          <w:kern w:val="2"/>
          <w:sz w:val="20"/>
          <w:szCs w:val="20"/>
          <w:lang w:val="en-US" w:eastAsia="zh-CN" w:bidi="ar-SA"/>
          <w14:textFill>
            <w14:solidFill>
              <w14:schemeClr w14:val="tx1"/>
            </w14:solidFill>
          </w14:textFill>
        </w:rPr>
        <w:t>份，自双签字盖章之日起生效。</w:t>
      </w:r>
    </w:p>
    <w:tbl>
      <w:tblPr>
        <w:tblStyle w:val="2"/>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2D56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181BFB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lang w:eastAsia="zh-CN"/>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甲方：（盖章）陕西省高速公路收费中心</w:t>
            </w:r>
          </w:p>
        </w:tc>
        <w:tc>
          <w:tcPr>
            <w:tcW w:w="4326" w:type="dxa"/>
            <w:noWrap w:val="0"/>
            <w:vAlign w:val="center"/>
          </w:tcPr>
          <w:p w14:paraId="661B0737">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乙方：（盖章）</w:t>
            </w:r>
          </w:p>
        </w:tc>
      </w:tr>
      <w:tr w14:paraId="1488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noWrap w:val="0"/>
            <w:vAlign w:val="center"/>
          </w:tcPr>
          <w:p w14:paraId="27BAB076">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z w:val="20"/>
                <w:szCs w:val="20"/>
                <w14:textFill>
                  <w14:solidFill>
                    <w14:schemeClr w14:val="tx1"/>
                  </w14:solidFill>
                </w14:textFill>
              </w:rPr>
            </w:pPr>
          </w:p>
          <w:p w14:paraId="4C993A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法人（签字或盖章）：</w:t>
            </w:r>
          </w:p>
          <w:p w14:paraId="018C615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p>
        </w:tc>
        <w:tc>
          <w:tcPr>
            <w:tcW w:w="4326" w:type="dxa"/>
            <w:noWrap w:val="0"/>
            <w:vAlign w:val="center"/>
          </w:tcPr>
          <w:p w14:paraId="5E67CE9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法人（签字或盖章）：</w:t>
            </w:r>
          </w:p>
        </w:tc>
      </w:tr>
      <w:tr w14:paraId="53B8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noWrap w:val="0"/>
            <w:vAlign w:val="center"/>
          </w:tcPr>
          <w:p w14:paraId="1E3DA657">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委托代理人：</w:t>
            </w:r>
          </w:p>
        </w:tc>
        <w:tc>
          <w:tcPr>
            <w:tcW w:w="4326" w:type="dxa"/>
            <w:noWrap w:val="0"/>
            <w:vAlign w:val="center"/>
          </w:tcPr>
          <w:p w14:paraId="1945283F">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委托代理人：</w:t>
            </w:r>
          </w:p>
        </w:tc>
      </w:tr>
      <w:tr w14:paraId="10B8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noWrap w:val="0"/>
            <w:vAlign w:val="center"/>
          </w:tcPr>
          <w:p w14:paraId="37A3074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办公地址：</w:t>
            </w:r>
          </w:p>
        </w:tc>
        <w:tc>
          <w:tcPr>
            <w:tcW w:w="4326" w:type="dxa"/>
            <w:noWrap w:val="0"/>
            <w:vAlign w:val="center"/>
          </w:tcPr>
          <w:p w14:paraId="3825149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办公地址：</w:t>
            </w:r>
          </w:p>
        </w:tc>
      </w:tr>
      <w:tr w14:paraId="1FB8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noWrap w:val="0"/>
            <w:vAlign w:val="center"/>
          </w:tcPr>
          <w:p w14:paraId="012E38DF">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电    话：</w:t>
            </w:r>
          </w:p>
        </w:tc>
        <w:tc>
          <w:tcPr>
            <w:tcW w:w="4326" w:type="dxa"/>
            <w:noWrap w:val="0"/>
            <w:vAlign w:val="center"/>
          </w:tcPr>
          <w:p w14:paraId="6C5D795B">
            <w:pPr>
              <w:keepNext w:val="0"/>
              <w:keepLines w:val="0"/>
              <w:pageBreakBefore w:val="0"/>
              <w:kinsoku/>
              <w:wordWrap/>
              <w:overflowPunct/>
              <w:topLinePunct w:val="0"/>
              <w:bidi w:val="0"/>
              <w:snapToGrid w:val="0"/>
              <w:spacing w:line="360" w:lineRule="auto"/>
              <w:ind w:left="5520" w:hanging="4600" w:hangingChars="2300"/>
              <w:jc w:val="left"/>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电    话：</w:t>
            </w:r>
          </w:p>
        </w:tc>
      </w:tr>
      <w:tr w14:paraId="248B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4E94C30">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传    真：</w:t>
            </w:r>
          </w:p>
        </w:tc>
        <w:tc>
          <w:tcPr>
            <w:tcW w:w="4326" w:type="dxa"/>
            <w:noWrap w:val="0"/>
            <w:vAlign w:val="center"/>
          </w:tcPr>
          <w:p w14:paraId="160E241B">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传    真：</w:t>
            </w:r>
          </w:p>
        </w:tc>
      </w:tr>
      <w:tr w14:paraId="35B2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643EFA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spacing w:val="20"/>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开户银行：</w:t>
            </w:r>
          </w:p>
        </w:tc>
        <w:tc>
          <w:tcPr>
            <w:tcW w:w="4326" w:type="dxa"/>
            <w:noWrap w:val="0"/>
            <w:vAlign w:val="center"/>
          </w:tcPr>
          <w:p w14:paraId="71D19C5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开户银行：</w:t>
            </w:r>
          </w:p>
        </w:tc>
      </w:tr>
      <w:tr w14:paraId="115C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953B9B0">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帐号：</w:t>
            </w:r>
          </w:p>
        </w:tc>
        <w:tc>
          <w:tcPr>
            <w:tcW w:w="4326" w:type="dxa"/>
            <w:noWrap w:val="0"/>
            <w:vAlign w:val="center"/>
          </w:tcPr>
          <w:p w14:paraId="74CF2F8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账号：</w:t>
            </w:r>
          </w:p>
        </w:tc>
      </w:tr>
      <w:tr w14:paraId="4188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noWrap w:val="0"/>
            <w:vAlign w:val="center"/>
          </w:tcPr>
          <w:p w14:paraId="0DE2508C">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日   期：    年  月  日</w:t>
            </w:r>
          </w:p>
        </w:tc>
        <w:tc>
          <w:tcPr>
            <w:tcW w:w="4326" w:type="dxa"/>
            <w:noWrap w:val="0"/>
            <w:vAlign w:val="center"/>
          </w:tcPr>
          <w:p w14:paraId="063F9725">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日    期：    年  月  日</w:t>
            </w:r>
          </w:p>
        </w:tc>
      </w:tr>
    </w:tbl>
    <w:p w14:paraId="66AC9D77">
      <w:pPr>
        <w:pStyle w:val="4"/>
        <w:rPr>
          <w:rFonts w:hint="eastAsia"/>
          <w:lang w:val="en-US" w:eastAsia="zh-Hans"/>
        </w:rPr>
      </w:pPr>
    </w:p>
    <w:p w14:paraId="2B70A2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C32E46"/>
    <w:rsid w:val="32C32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2026-03-31T08:03:00Z</dcterms:created>
  <dc:creator>833</dc:creator>
  <cp:lastModifiedBy>833</cp:lastModifiedBy>
  <dcterms:modified xsi:type="dcterms:W3CDTF">2026-03-31T08:03:55Z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3B73BBE65B1740E48D0647EC8DEE000A_11</vt:lpwstr>
  </property>
  <property fmtid="{D5CDD505-2E9C-101B-9397-08002B2CF9AE}" pid="4" name="KSOTemplateDocerSaveRecord">
    <vt:lpwstr>eyJoZGlkIjoiNTI1OGU5NzEwNjlmOTA0NzYwMTIyZGJlNThjMzMxOGYiLCJ1c2VySWQiOiIzMTI3MDEwNzEifQ==</vt:lpwstr>
  </property>
</Properties>
</file>