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0FCD">
      <w:pPr>
        <w:rPr>
          <w:highlight w:val="none"/>
        </w:rPr>
      </w:pPr>
      <w:r>
        <w:rPr>
          <w:rFonts w:hint="eastAsia"/>
          <w:lang w:val="en-US" w:eastAsia="zh-CN"/>
        </w:rPr>
        <w:t>详细评审--</w:t>
      </w:r>
      <w:r>
        <w:rPr>
          <w:highlight w:val="none"/>
        </w:rPr>
        <w:t>业绩</w:t>
      </w:r>
    </w:p>
    <w:p w14:paraId="2501974C">
      <w:r>
        <w:rPr>
          <w:rFonts w:hint="default"/>
          <w:highlight w:val="none"/>
          <w:lang w:val="en-US" w:eastAsia="zh-CN"/>
        </w:rPr>
        <w:t>(各供应商根据采购内容及评审内容要求，自主编写)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CA04F2"/>
    <w:rsid w:val="04CA04F2"/>
    <w:rsid w:val="3D88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2026-03-31T07:48:00Z</dcterms:created>
  <dc:creator>833</dc:creator>
  <cp:lastModifiedBy>833</cp:lastModifiedBy>
  <dcterms:modified xsi:type="dcterms:W3CDTF">2026-03-31T07:48:34Z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7C977A09291545579BB99705B10889BA_11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