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版本号：LZBE2026-21420260407002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高速公路通信系统运维项目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LZBE2026-214</w:t>
      </w:r>
      <w:r>
        <w:br/>
      </w:r>
      <w:r>
        <w:br/>
      </w:r>
      <w:r>
        <w:br/>
      </w:r>
    </w:p>
    <w:p>
      <w:pPr>
        <w:pStyle w:val="null3"/>
        <w:jc w:val="center"/>
        <w:outlineLvl w:val="2"/>
      </w:pPr>
      <w:r>
        <w:rPr>
          <w:rFonts w:ascii="仿宋_GB2312" w:hAnsi="仿宋_GB2312" w:cs="仿宋_GB2312" w:eastAsia="仿宋_GB2312"/>
          <w:sz w:val="28"/>
          <w:b/>
        </w:rPr>
        <w:t>陕西省高速公路收费中心</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陕西省高速公路收费中心</w:t>
      </w:r>
      <w:r>
        <w:rPr>
          <w:rFonts w:ascii="仿宋_GB2312" w:hAnsi="仿宋_GB2312" w:cs="仿宋_GB2312" w:eastAsia="仿宋_GB2312"/>
        </w:rPr>
        <w:t>委托，拟对</w:t>
      </w:r>
      <w:r>
        <w:rPr>
          <w:rFonts w:ascii="仿宋_GB2312" w:hAnsi="仿宋_GB2312" w:cs="仿宋_GB2312" w:eastAsia="仿宋_GB2312"/>
        </w:rPr>
        <w:t>高速公路通信系统运维项目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LZBE2026-214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高速公路通信系统运维项目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通信系统是陕西省高速公路信息系统重要的组成部分，承载着全省高速公路联网收费、综合监控、程控交换及视频会议等业务的数据传输，在保障高速公路各类信息系统正常运行中发挥着底座的功能。为保障陕西省高速公路通信系统处于良好工作状态，现委托专业运维供应商进行运维服务保障工作,具体详见服务内容及服务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采购包1（高速公路通信系统运维项目）：属于专门面向中小企业采购。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1、具有独立承担民事责任能力的法人、其他组织或自然人：法人或者其他组织提供营业执照等证明文件，自然人提供身份证件，供应商需在项目电子化交易系统中按要求上传相应证明文件并进行电子签章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税收缴纳凭证及社会保险缴纳的凭证：供应商提供在本项目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w:t>
      </w:r>
    </w:p>
    <w:p>
      <w:pPr>
        <w:pStyle w:val="null3"/>
      </w:pPr>
      <w:r>
        <w:rPr>
          <w:rFonts w:ascii="仿宋_GB2312" w:hAnsi="仿宋_GB2312" w:cs="仿宋_GB2312" w:eastAsia="仿宋_GB2312"/>
        </w:rPr>
        <w:t>3、财务状况报告：供应商提供2024或2025年度经审计的财务审计报告（事业法人可提供部门决算报告）；或供应商基本账户银行出具的资信证明；或提供专业担保机构出具的投标担保函，供应商需在项目电子化交易系统中按要求上传相应证明文件</w:t>
      </w:r>
    </w:p>
    <w:p>
      <w:pPr>
        <w:pStyle w:val="null3"/>
      </w:pPr>
      <w:r>
        <w:rPr>
          <w:rFonts w:ascii="仿宋_GB2312" w:hAnsi="仿宋_GB2312" w:cs="仿宋_GB2312" w:eastAsia="仿宋_GB2312"/>
        </w:rPr>
        <w:t>4、参加本次政府采购活动前3年内在经营活动中没有重大违法记录的书面声明：供应商需提供参加本次政府采购活动前3年内在经营活动中没有重大违法记录的书面声明并进行电子签章</w:t>
      </w:r>
    </w:p>
    <w:p>
      <w:pPr>
        <w:pStyle w:val="null3"/>
      </w:pPr>
      <w:r>
        <w:rPr>
          <w:rFonts w:ascii="仿宋_GB2312" w:hAnsi="仿宋_GB2312" w:cs="仿宋_GB2312" w:eastAsia="仿宋_GB2312"/>
        </w:rPr>
        <w:t>5、具有履行合同所必需的设备和专业技术能力书面声明函：供应商需提供具有履行合同所必需的设备和专业技术能力书面声明函并进行电子签章</w:t>
      </w:r>
    </w:p>
    <w:p>
      <w:pPr>
        <w:pStyle w:val="null3"/>
      </w:pPr>
      <w:r>
        <w:rPr>
          <w:rFonts w:ascii="仿宋_GB2312" w:hAnsi="仿宋_GB2312" w:cs="仿宋_GB2312" w:eastAsia="仿宋_GB2312"/>
        </w:rPr>
        <w:t>6、信用状况：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的网站查询记录为准</w:t>
      </w:r>
    </w:p>
    <w:p>
      <w:pPr>
        <w:pStyle w:val="null3"/>
      </w:pPr>
      <w:r>
        <w:rPr>
          <w:rFonts w:ascii="仿宋_GB2312" w:hAnsi="仿宋_GB2312" w:cs="仿宋_GB2312" w:eastAsia="仿宋_GB2312"/>
        </w:rPr>
        <w:t>7、法定代表人授权书：法定代表人授权书及被授权人身份证明。（法定代表人直接磋商只须提供其身份证明）</w:t>
      </w:r>
    </w:p>
    <w:p>
      <w:pPr>
        <w:pStyle w:val="null3"/>
      </w:pPr>
      <w:r>
        <w:rPr>
          <w:rFonts w:ascii="仿宋_GB2312" w:hAnsi="仿宋_GB2312" w:cs="仿宋_GB2312" w:eastAsia="仿宋_GB2312"/>
        </w:rPr>
        <w:t>8、控股管理关系：提供直接控股和管理关系清单。若与其他供应商存在单位负责人为同一人或者存在直接控股、管理关系的，则磋商无效。</w:t>
      </w:r>
    </w:p>
    <w:p>
      <w:pPr>
        <w:pStyle w:val="null3"/>
      </w:pPr>
      <w:r>
        <w:rPr>
          <w:rFonts w:ascii="仿宋_GB2312" w:hAnsi="仿宋_GB2312" w:cs="仿宋_GB2312" w:eastAsia="仿宋_GB2312"/>
        </w:rPr>
        <w:t>9、中小企业声明函：本项目专门面向中小企业采购(残疾人福利性单位、监狱企业视同小型、微型企业)，供应商需提供《中小企业声明函》(监狱企业的证明文件或《残疾人福利性单位声明函》)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陕西省高速公路收费中心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陕西省未央区凤城十一路东段陕西省高速公路收费中心208号。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029-86531251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陕西省西安市高新区太白南路181号A座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吴岳、陈钊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029-88228899-652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开户名称：龙寰项目管理咨询有限公司</w:t>
            </w:r>
          </w:p>
          <w:p>
            <w:pPr>
              <w:pStyle w:val="null3"/>
            </w:pPr>
            <w:r>
              <w:rPr>
                <w:rFonts w:ascii="仿宋_GB2312" w:hAnsi="仿宋_GB2312" w:cs="仿宋_GB2312" w:eastAsia="仿宋_GB2312"/>
              </w:rPr>
              <w:t>开户银行：平安银行西安高新路支行</w:t>
            </w:r>
          </w:p>
          <w:p>
            <w:pPr>
              <w:pStyle w:val="null3"/>
            </w:pPr>
            <w:r>
              <w:rPr>
                <w:rFonts w:ascii="仿宋_GB2312" w:hAnsi="仿宋_GB2312" w:cs="仿宋_GB2312" w:eastAsia="仿宋_GB2312"/>
              </w:rPr>
              <w:t>银行账号：30201278018301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应依据成交金额向采购代理机构交纳成交服务费，交费金额参照国家计委颁布的《招标代理服务收费管理暂行办法》（计价格[2002]1980号）及发改办价格[2003]857号文件的规定标准下浮12%收取。本项目代理服务费按服务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陕西省高速公路收费中心</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陕西省高速公路收费中心</w:t>
      </w:r>
      <w:r>
        <w:rPr>
          <w:rFonts w:ascii="仿宋_GB2312" w:hAnsi="仿宋_GB2312" w:cs="仿宋_GB2312" w:eastAsia="仿宋_GB2312"/>
        </w:rPr>
        <w:t>负责解释。除上述磋商文件内容，其他内容由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陕西省高速公路收费中心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联系人：吴岳、陈钊</w:t>
      </w:r>
    </w:p>
    <w:p>
      <w:pPr>
        <w:pStyle w:val="null3"/>
      </w:pPr>
      <w:r>
        <w:rPr>
          <w:rFonts w:ascii="仿宋_GB2312" w:hAnsi="仿宋_GB2312" w:cs="仿宋_GB2312" w:eastAsia="仿宋_GB2312"/>
        </w:rPr>
        <w:t>联系电话：029-88228899-652</w:t>
      </w:r>
    </w:p>
    <w:p>
      <w:pPr>
        <w:pStyle w:val="null3"/>
      </w:pPr>
      <w:r>
        <w:rPr>
          <w:rFonts w:ascii="仿宋_GB2312" w:hAnsi="仿宋_GB2312" w:cs="仿宋_GB2312" w:eastAsia="仿宋_GB2312"/>
        </w:rPr>
        <w:t>地址：西安市太白南路181号西部电子社区A座A区501室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通信系统是陕西省高速公路信息系统重要的组成部分，承载着全省高速公路联网收费、综合监控、程控交换及视频会议等业务的数据传输，在保障高速公路各类信息系统正常运行中发挥着底座的功能。为保障陕西省高速公路通信系统处于良好工作状态，现委托专业运维供应商进行运维服务保障工作,具体详见服务内容及服务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高速公路通信系统运维</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标的名称：高速公路通信系统运维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一．服务范围</w:t>
            </w:r>
          </w:p>
          <w:p>
            <w:pPr>
              <w:pStyle w:val="null3"/>
              <w:jc w:val="both"/>
            </w:pPr>
            <w:r>
              <w:rPr>
                <w:rFonts w:ascii="仿宋_GB2312" w:hAnsi="仿宋_GB2312" w:cs="仿宋_GB2312" w:eastAsia="仿宋_GB2312"/>
                <w:sz w:val="20"/>
              </w:rPr>
              <w:t>本次运维服务范围包括传输系统、网管系统、程控交换系统、</w:t>
            </w:r>
            <w:r>
              <w:rPr>
                <w:rFonts w:ascii="仿宋_GB2312" w:hAnsi="仿宋_GB2312" w:cs="仿宋_GB2312" w:eastAsia="仿宋_GB2312"/>
                <w:sz w:val="20"/>
              </w:rPr>
              <w:t>ODF光纤配线架、传输系统配套备用供电系统（通信电源、配电柜、UPS及电池）、通信设备环境等。</w:t>
            </w:r>
          </w:p>
          <w:p>
            <w:pPr>
              <w:pStyle w:val="null3"/>
              <w:jc w:val="center"/>
            </w:pPr>
            <w:r>
              <w:rPr>
                <w:rFonts w:ascii="仿宋_GB2312" w:hAnsi="仿宋_GB2312" w:cs="仿宋_GB2312" w:eastAsia="仿宋_GB2312"/>
                <w:sz w:val="20"/>
              </w:rPr>
              <w:t>通信系统维护清单：</w:t>
            </w:r>
          </w:p>
          <w:tbl>
            <w:tblPr>
              <w:tblInd w:type="dxa" w:w="120"/>
              <w:tblBorders>
                <w:top w:val="none" w:color="000000" w:sz="4"/>
                <w:left w:val="none" w:color="000000" w:sz="4"/>
                <w:bottom w:val="none" w:color="000000" w:sz="4"/>
                <w:right w:val="none" w:color="000000" w:sz="4"/>
                <w:insideH w:val="none"/>
                <w:insideV w:val="none"/>
              </w:tblBorders>
            </w:tblPr>
            <w:tblGrid>
              <w:gridCol w:w="268"/>
              <w:gridCol w:w="595"/>
              <w:gridCol w:w="1213"/>
              <w:gridCol w:w="476"/>
            </w:tblGrid>
            <w:tr>
              <w:tc>
                <w:tcPr>
                  <w:tcW w:type="dxa" w:w="2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序号</w:t>
                  </w:r>
                </w:p>
              </w:tc>
              <w:tc>
                <w:tcPr>
                  <w:tcW w:type="dxa" w:w="59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类型</w:t>
                  </w:r>
                </w:p>
              </w:tc>
              <w:tc>
                <w:tcPr>
                  <w:tcW w:type="dxa" w:w="121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jc w:val="both"/>
                  </w:pPr>
                  <w:r>
                    <w:rPr>
                      <w:rFonts w:ascii="仿宋_GB2312" w:hAnsi="仿宋_GB2312" w:cs="仿宋_GB2312" w:eastAsia="仿宋_GB2312"/>
                      <w:sz w:val="20"/>
                      <w:color w:val="000000"/>
                    </w:rPr>
                    <w:t>设备品牌型号</w:t>
                  </w:r>
                </w:p>
              </w:tc>
              <w:tc>
                <w:tcPr>
                  <w:tcW w:type="dxa" w:w="47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数量（套）</w:t>
                  </w:r>
                </w:p>
              </w:tc>
            </w:tr>
            <w:tr>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w:t>
                  </w:r>
                </w:p>
              </w:tc>
              <w:tc>
                <w:tcPr>
                  <w:tcW w:type="dxa" w:w="59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SDH</w:t>
                  </w:r>
                </w:p>
                <w:p>
                  <w:pPr>
                    <w:pStyle w:val="null3"/>
                    <w:jc w:val="center"/>
                  </w:pPr>
                </w:p>
              </w:tc>
              <w:tc>
                <w:tcPr>
                  <w:tcW w:type="dxa" w:w="12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华为</w:t>
                  </w:r>
                  <w:r>
                    <w:rPr>
                      <w:rFonts w:ascii="仿宋_GB2312" w:hAnsi="仿宋_GB2312" w:cs="仿宋_GB2312" w:eastAsia="仿宋_GB2312"/>
                      <w:sz w:val="20"/>
                      <w:color w:val="000000"/>
                    </w:rPr>
                    <w:t>Metro3000（Optix 2500+</w:t>
                  </w:r>
                </w:p>
              </w:tc>
              <w:tc>
                <w:tcPr>
                  <w:tcW w:type="dxa" w:w="4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2</w:t>
                  </w:r>
                </w:p>
              </w:tc>
            </w:tr>
            <w:tr>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2</w:t>
                  </w:r>
                </w:p>
              </w:tc>
              <w:tc>
                <w:tcPr>
                  <w:tcW w:type="dxa" w:w="595"/>
                  <w:vMerge/>
                  <w:tcBorders>
                    <w:top w:val="none" w:color="000000" w:sz="4"/>
                    <w:left w:val="single" w:color="000000" w:sz="4"/>
                    <w:bottom w:val="single" w:color="000000" w:sz="4"/>
                    <w:right w:val="single" w:color="000000" w:sz="4"/>
                  </w:tcBorders>
                </w:tcPr>
                <w:p/>
              </w:tc>
              <w:tc>
                <w:tcPr>
                  <w:tcW w:type="dxa" w:w="12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华为</w:t>
                  </w:r>
                  <w:r>
                    <w:rPr>
                      <w:rFonts w:ascii="仿宋_GB2312" w:hAnsi="仿宋_GB2312" w:cs="仿宋_GB2312" w:eastAsia="仿宋_GB2312"/>
                      <w:sz w:val="20"/>
                      <w:color w:val="000000"/>
                    </w:rPr>
                    <w:t>OSN 7500</w:t>
                  </w:r>
                </w:p>
              </w:tc>
              <w:tc>
                <w:tcPr>
                  <w:tcW w:type="dxa" w:w="4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3</w:t>
                  </w:r>
                </w:p>
              </w:tc>
              <w:tc>
                <w:tcPr>
                  <w:tcW w:type="dxa" w:w="595"/>
                  <w:vMerge/>
                  <w:tcBorders>
                    <w:top w:val="none" w:color="000000" w:sz="4"/>
                    <w:left w:val="single" w:color="000000" w:sz="4"/>
                    <w:bottom w:val="single" w:color="000000" w:sz="4"/>
                    <w:right w:val="single" w:color="000000" w:sz="4"/>
                  </w:tcBorders>
                </w:tcPr>
                <w:p/>
              </w:tc>
              <w:tc>
                <w:tcPr>
                  <w:tcW w:type="dxa" w:w="12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华为</w:t>
                  </w:r>
                  <w:r>
                    <w:rPr>
                      <w:rFonts w:ascii="仿宋_GB2312" w:hAnsi="仿宋_GB2312" w:cs="仿宋_GB2312" w:eastAsia="仿宋_GB2312"/>
                      <w:sz w:val="20"/>
                      <w:color w:val="000000"/>
                    </w:rPr>
                    <w:t>OSN 3500</w:t>
                  </w:r>
                </w:p>
              </w:tc>
              <w:tc>
                <w:tcPr>
                  <w:tcW w:type="dxa" w:w="4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4</w:t>
                  </w:r>
                </w:p>
              </w:tc>
              <w:tc>
                <w:tcPr>
                  <w:tcW w:type="dxa" w:w="595"/>
                  <w:vMerge/>
                  <w:tcBorders>
                    <w:top w:val="none" w:color="000000" w:sz="4"/>
                    <w:left w:val="single" w:color="000000" w:sz="4"/>
                    <w:bottom w:val="single" w:color="000000" w:sz="4"/>
                    <w:right w:val="single" w:color="000000" w:sz="4"/>
                  </w:tcBorders>
                </w:tcPr>
                <w:p/>
              </w:tc>
              <w:tc>
                <w:tcPr>
                  <w:tcW w:type="dxa" w:w="12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中兴</w:t>
                  </w:r>
                  <w:r>
                    <w:rPr>
                      <w:rFonts w:ascii="仿宋_GB2312" w:hAnsi="仿宋_GB2312" w:cs="仿宋_GB2312" w:eastAsia="仿宋_GB2312"/>
                      <w:sz w:val="20"/>
                      <w:color w:val="000000"/>
                    </w:rPr>
                    <w:t>ZMP S385</w:t>
                  </w:r>
                </w:p>
              </w:tc>
              <w:tc>
                <w:tcPr>
                  <w:tcW w:type="dxa" w:w="47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2</w:t>
                  </w:r>
                </w:p>
              </w:tc>
            </w:tr>
            <w:tr>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5</w:t>
                  </w:r>
                </w:p>
              </w:tc>
              <w:tc>
                <w:tcPr>
                  <w:tcW w:type="dxa" w:w="59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OTN</w:t>
                  </w:r>
                </w:p>
              </w:tc>
              <w:tc>
                <w:tcPr>
                  <w:tcW w:type="dxa" w:w="12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华为</w:t>
                  </w:r>
                  <w:r>
                    <w:rPr>
                      <w:rFonts w:ascii="仿宋_GB2312" w:hAnsi="仿宋_GB2312" w:cs="仿宋_GB2312" w:eastAsia="仿宋_GB2312"/>
                      <w:sz w:val="20"/>
                      <w:color w:val="000000"/>
                    </w:rPr>
                    <w:t>OSN 9800</w:t>
                  </w:r>
                </w:p>
              </w:tc>
              <w:tc>
                <w:tcPr>
                  <w:tcW w:type="dxa" w:w="4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6</w:t>
                  </w:r>
                </w:p>
              </w:tc>
              <w:tc>
                <w:tcPr>
                  <w:tcW w:type="dxa" w:w="595"/>
                  <w:vMerge/>
                  <w:tcBorders>
                    <w:top w:val="none" w:color="000000" w:sz="4"/>
                    <w:left w:val="single" w:color="000000" w:sz="4"/>
                    <w:bottom w:val="single" w:color="000000" w:sz="4"/>
                    <w:right w:val="single" w:color="000000" w:sz="4"/>
                  </w:tcBorders>
                </w:tcPr>
                <w:p/>
              </w:tc>
              <w:tc>
                <w:tcPr>
                  <w:tcW w:type="dxa" w:w="12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中兴</w:t>
                  </w:r>
                  <w:r>
                    <w:rPr>
                      <w:rFonts w:ascii="仿宋_GB2312" w:hAnsi="仿宋_GB2312" w:cs="仿宋_GB2312" w:eastAsia="仿宋_GB2312"/>
                      <w:sz w:val="20"/>
                      <w:color w:val="000000"/>
                    </w:rPr>
                    <w:t>ZXONE8700</w:t>
                  </w:r>
                </w:p>
              </w:tc>
              <w:tc>
                <w:tcPr>
                  <w:tcW w:type="dxa" w:w="4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7</w:t>
                  </w:r>
                </w:p>
              </w:tc>
              <w:tc>
                <w:tcPr>
                  <w:tcW w:type="dxa" w:w="5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程控交换机</w:t>
                  </w:r>
                </w:p>
              </w:tc>
              <w:tc>
                <w:tcPr>
                  <w:tcW w:type="dxa" w:w="12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华为</w:t>
                  </w:r>
                  <w:r>
                    <w:rPr>
                      <w:rFonts w:ascii="仿宋_GB2312" w:hAnsi="仿宋_GB2312" w:cs="仿宋_GB2312" w:eastAsia="仿宋_GB2312"/>
                      <w:sz w:val="20"/>
                      <w:color w:val="000000"/>
                    </w:rPr>
                    <w:t>CC8808</w:t>
                  </w:r>
                </w:p>
              </w:tc>
              <w:tc>
                <w:tcPr>
                  <w:tcW w:type="dxa" w:w="4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2</w:t>
                  </w:r>
                </w:p>
              </w:tc>
            </w:tr>
            <w:tr>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8</w:t>
                  </w:r>
                </w:p>
              </w:tc>
              <w:tc>
                <w:tcPr>
                  <w:tcW w:type="dxa" w:w="5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ODF光纤配线架</w:t>
                  </w:r>
                </w:p>
              </w:tc>
              <w:tc>
                <w:tcPr>
                  <w:tcW w:type="dxa" w:w="12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w:t>
                  </w:r>
                </w:p>
              </w:tc>
              <w:tc>
                <w:tcPr>
                  <w:tcW w:type="dxa" w:w="4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9</w:t>
                  </w:r>
                </w:p>
              </w:tc>
              <w:tc>
                <w:tcPr>
                  <w:tcW w:type="dxa" w:w="595"/>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电源</w:t>
                  </w:r>
                </w:p>
                <w:p>
                  <w:pPr>
                    <w:pStyle w:val="null3"/>
                    <w:jc w:val="center"/>
                  </w:pPr>
                  <w:r>
                    <w:rPr>
                      <w:rFonts w:ascii="仿宋_GB2312" w:hAnsi="仿宋_GB2312" w:cs="仿宋_GB2312" w:eastAsia="仿宋_GB2312"/>
                      <w:sz w:val="20"/>
                      <w:color w:val="000000"/>
                    </w:rPr>
                    <w:t>电源</w:t>
                  </w:r>
                </w:p>
              </w:tc>
              <w:tc>
                <w:tcPr>
                  <w:tcW w:type="dxa" w:w="12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艾默生</w:t>
                  </w:r>
                  <w:r>
                    <w:rPr>
                      <w:rFonts w:ascii="仿宋_GB2312" w:hAnsi="仿宋_GB2312" w:cs="仿宋_GB2312" w:eastAsia="仿宋_GB2312"/>
                      <w:sz w:val="20"/>
                      <w:color w:val="000000"/>
                    </w:rPr>
                    <w:t>PS48300 电源柜</w:t>
                  </w:r>
                </w:p>
              </w:tc>
              <w:tc>
                <w:tcPr>
                  <w:tcW w:type="dxa" w:w="4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10</w:t>
                  </w:r>
                </w:p>
              </w:tc>
              <w:tc>
                <w:tcPr>
                  <w:tcW w:type="dxa" w:w="595"/>
                  <w:vMerge/>
                  <w:tcBorders>
                    <w:top w:val="none" w:color="000000" w:sz="4"/>
                    <w:left w:val="none" w:color="000000" w:sz="4"/>
                    <w:bottom w:val="single" w:color="000000" w:sz="4"/>
                    <w:right w:val="single" w:color="000000" w:sz="4"/>
                  </w:tcBorders>
                </w:tcPr>
                <w:p/>
              </w:tc>
              <w:tc>
                <w:tcPr>
                  <w:tcW w:type="dxa" w:w="12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中兴</w:t>
                  </w:r>
                  <w:r>
                    <w:rPr>
                      <w:rFonts w:ascii="仿宋_GB2312" w:hAnsi="仿宋_GB2312" w:cs="仿宋_GB2312" w:eastAsia="仿宋_GB2312"/>
                      <w:sz w:val="20"/>
                      <w:color w:val="000000"/>
                    </w:rPr>
                    <w:t>新</w:t>
                  </w:r>
                  <w:r>
                    <w:rPr>
                      <w:rFonts w:ascii="仿宋_GB2312" w:hAnsi="仿宋_GB2312" w:cs="仿宋_GB2312" w:eastAsia="仿宋_GB2312"/>
                      <w:sz w:val="20"/>
                      <w:color w:val="000000"/>
                    </w:rPr>
                    <w:t>S385 ZXDU48 电源柜</w:t>
                  </w:r>
                </w:p>
              </w:tc>
              <w:tc>
                <w:tcPr>
                  <w:tcW w:type="dxa" w:w="4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11</w:t>
                  </w:r>
                </w:p>
              </w:tc>
              <w:tc>
                <w:tcPr>
                  <w:tcW w:type="dxa" w:w="595"/>
                  <w:vMerge/>
                  <w:tcBorders>
                    <w:top w:val="none" w:color="000000" w:sz="4"/>
                    <w:left w:val="none" w:color="000000" w:sz="4"/>
                    <w:bottom w:val="single" w:color="000000" w:sz="4"/>
                    <w:right w:val="single" w:color="000000" w:sz="4"/>
                  </w:tcBorders>
                </w:tcPr>
                <w:p/>
              </w:tc>
              <w:tc>
                <w:tcPr>
                  <w:tcW w:type="dxa" w:w="12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华为新</w:t>
                  </w:r>
                  <w:r>
                    <w:rPr>
                      <w:rFonts w:ascii="仿宋_GB2312" w:hAnsi="仿宋_GB2312" w:cs="仿宋_GB2312" w:eastAsia="仿宋_GB2312"/>
                      <w:sz w:val="20"/>
                      <w:color w:val="000000"/>
                    </w:rPr>
                    <w:t>7500 3500 ETP4890 电源柜</w:t>
                  </w:r>
                </w:p>
              </w:tc>
              <w:tc>
                <w:tcPr>
                  <w:tcW w:type="dxa" w:w="4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12</w:t>
                  </w:r>
                </w:p>
              </w:tc>
              <w:tc>
                <w:tcPr>
                  <w:tcW w:type="dxa" w:w="595"/>
                  <w:vMerge/>
                  <w:tcBorders>
                    <w:top w:val="none" w:color="000000" w:sz="4"/>
                    <w:left w:val="none" w:color="000000" w:sz="4"/>
                    <w:bottom w:val="single" w:color="000000" w:sz="4"/>
                    <w:right w:val="single" w:color="000000" w:sz="4"/>
                  </w:tcBorders>
                </w:tcPr>
                <w:p/>
              </w:tc>
              <w:tc>
                <w:tcPr>
                  <w:tcW w:type="dxa" w:w="12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中兴</w:t>
                  </w:r>
                  <w:r>
                    <w:rPr>
                      <w:rFonts w:ascii="仿宋_GB2312" w:hAnsi="仿宋_GB2312" w:cs="仿宋_GB2312" w:eastAsia="仿宋_GB2312"/>
                      <w:sz w:val="20"/>
                      <w:color w:val="000000"/>
                    </w:rPr>
                    <w:t>OTN 电源柜</w:t>
                  </w:r>
                </w:p>
              </w:tc>
              <w:tc>
                <w:tcPr>
                  <w:tcW w:type="dxa" w:w="4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13</w:t>
                  </w:r>
                </w:p>
              </w:tc>
              <w:tc>
                <w:tcPr>
                  <w:tcW w:type="dxa" w:w="595"/>
                  <w:vMerge/>
                  <w:tcBorders>
                    <w:top w:val="none" w:color="000000" w:sz="4"/>
                    <w:left w:val="none" w:color="000000" w:sz="4"/>
                    <w:bottom w:val="single" w:color="000000" w:sz="4"/>
                    <w:right w:val="single" w:color="000000" w:sz="4"/>
                  </w:tcBorders>
                </w:tcPr>
                <w:p/>
              </w:tc>
              <w:tc>
                <w:tcPr>
                  <w:tcW w:type="dxa" w:w="12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华为</w:t>
                  </w:r>
                  <w:r>
                    <w:rPr>
                      <w:rFonts w:ascii="仿宋_GB2312" w:hAnsi="仿宋_GB2312" w:cs="仿宋_GB2312" w:eastAsia="仿宋_GB2312"/>
                      <w:sz w:val="20"/>
                      <w:color w:val="000000"/>
                    </w:rPr>
                    <w:t>OTN 电源柜</w:t>
                  </w:r>
                </w:p>
              </w:tc>
              <w:tc>
                <w:tcPr>
                  <w:tcW w:type="dxa" w:w="4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14</w:t>
                  </w:r>
                </w:p>
              </w:tc>
              <w:tc>
                <w:tcPr>
                  <w:tcW w:type="dxa" w:w="59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网管</w:t>
                  </w:r>
                </w:p>
              </w:tc>
              <w:tc>
                <w:tcPr>
                  <w:tcW w:type="dxa" w:w="12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华为</w:t>
                  </w:r>
                  <w:r>
                    <w:rPr>
                      <w:rFonts w:ascii="仿宋_GB2312" w:hAnsi="仿宋_GB2312" w:cs="仿宋_GB2312" w:eastAsia="仿宋_GB2312"/>
                      <w:sz w:val="20"/>
                      <w:color w:val="000000"/>
                    </w:rPr>
                    <w:t>U2000 SDH 网管</w:t>
                  </w:r>
                </w:p>
              </w:tc>
              <w:tc>
                <w:tcPr>
                  <w:tcW w:type="dxa" w:w="4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15</w:t>
                  </w:r>
                </w:p>
              </w:tc>
              <w:tc>
                <w:tcPr>
                  <w:tcW w:type="dxa" w:w="595"/>
                  <w:vMerge/>
                  <w:tcBorders>
                    <w:top w:val="none" w:color="000000" w:sz="4"/>
                    <w:left w:val="single" w:color="000000" w:sz="4"/>
                    <w:bottom w:val="single" w:color="000000" w:sz="4"/>
                    <w:right w:val="single" w:color="000000" w:sz="4"/>
                  </w:tcBorders>
                </w:tcPr>
                <w:p/>
              </w:tc>
              <w:tc>
                <w:tcPr>
                  <w:tcW w:type="dxa" w:w="12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华为</w:t>
                  </w:r>
                  <w:r>
                    <w:rPr>
                      <w:rFonts w:ascii="仿宋_GB2312" w:hAnsi="仿宋_GB2312" w:cs="仿宋_GB2312" w:eastAsia="仿宋_GB2312"/>
                      <w:sz w:val="20"/>
                      <w:color w:val="000000"/>
                    </w:rPr>
                    <w:t>NCE OTN 网管</w:t>
                  </w:r>
                </w:p>
              </w:tc>
              <w:tc>
                <w:tcPr>
                  <w:tcW w:type="dxa" w:w="4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16</w:t>
                  </w:r>
                </w:p>
              </w:tc>
              <w:tc>
                <w:tcPr>
                  <w:tcW w:type="dxa" w:w="595"/>
                  <w:vMerge/>
                  <w:tcBorders>
                    <w:top w:val="none" w:color="000000" w:sz="4"/>
                    <w:left w:val="single" w:color="000000" w:sz="4"/>
                    <w:bottom w:val="single" w:color="000000" w:sz="4"/>
                    <w:right w:val="single" w:color="000000" w:sz="4"/>
                  </w:tcBorders>
                </w:tcPr>
                <w:p/>
              </w:tc>
              <w:tc>
                <w:tcPr>
                  <w:tcW w:type="dxa" w:w="12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中兴</w:t>
                  </w:r>
                  <w:r>
                    <w:rPr>
                      <w:rFonts w:ascii="仿宋_GB2312" w:hAnsi="仿宋_GB2312" w:cs="仿宋_GB2312" w:eastAsia="仿宋_GB2312"/>
                      <w:sz w:val="20"/>
                      <w:color w:val="000000"/>
                    </w:rPr>
                    <w:t>U31 OTN 网管</w:t>
                  </w:r>
                </w:p>
              </w:tc>
              <w:tc>
                <w:tcPr>
                  <w:tcW w:type="dxa" w:w="4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17</w:t>
                  </w:r>
                </w:p>
              </w:tc>
              <w:tc>
                <w:tcPr>
                  <w:tcW w:type="dxa" w:w="595"/>
                  <w:vMerge/>
                  <w:tcBorders>
                    <w:top w:val="none" w:color="000000" w:sz="4"/>
                    <w:left w:val="single" w:color="000000" w:sz="4"/>
                    <w:bottom w:val="single" w:color="000000" w:sz="4"/>
                    <w:right w:val="single" w:color="000000" w:sz="4"/>
                  </w:tcBorders>
                </w:tcPr>
                <w:p/>
              </w:tc>
              <w:tc>
                <w:tcPr>
                  <w:tcW w:type="dxa" w:w="12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中兴</w:t>
                  </w:r>
                  <w:r>
                    <w:rPr>
                      <w:rFonts w:ascii="仿宋_GB2312" w:hAnsi="仿宋_GB2312" w:cs="仿宋_GB2312" w:eastAsia="仿宋_GB2312"/>
                      <w:sz w:val="20"/>
                      <w:color w:val="000000"/>
                    </w:rPr>
                    <w:t>U31 SDH 网管</w:t>
                  </w:r>
                </w:p>
              </w:tc>
              <w:tc>
                <w:tcPr>
                  <w:tcW w:type="dxa" w:w="4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18</w:t>
                  </w:r>
                </w:p>
              </w:tc>
              <w:tc>
                <w:tcPr>
                  <w:tcW w:type="dxa" w:w="595"/>
                  <w:vMerge/>
                  <w:tcBorders>
                    <w:top w:val="none" w:color="000000" w:sz="4"/>
                    <w:left w:val="single" w:color="000000" w:sz="4"/>
                    <w:bottom w:val="single" w:color="000000" w:sz="4"/>
                    <w:right w:val="single" w:color="000000" w:sz="4"/>
                  </w:tcBorders>
                </w:tcPr>
                <w:p/>
              </w:tc>
              <w:tc>
                <w:tcPr>
                  <w:tcW w:type="dxa" w:w="12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华为</w:t>
                  </w:r>
                  <w:r>
                    <w:rPr>
                      <w:rFonts w:ascii="仿宋_GB2312" w:hAnsi="仿宋_GB2312" w:cs="仿宋_GB2312" w:eastAsia="仿宋_GB2312"/>
                      <w:sz w:val="20"/>
                      <w:color w:val="000000"/>
                    </w:rPr>
                    <w:t>C&amp;C 08 网管</w:t>
                  </w:r>
                </w:p>
              </w:tc>
              <w:tc>
                <w:tcPr>
                  <w:tcW w:type="dxa" w:w="4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19</w:t>
                  </w:r>
                </w:p>
              </w:tc>
              <w:tc>
                <w:tcPr>
                  <w:tcW w:type="dxa" w:w="595"/>
                  <w:vMerge/>
                  <w:tcBorders>
                    <w:top w:val="none" w:color="000000" w:sz="4"/>
                    <w:left w:val="single" w:color="000000" w:sz="4"/>
                    <w:bottom w:val="single" w:color="000000" w:sz="4"/>
                    <w:right w:val="single" w:color="000000" w:sz="4"/>
                  </w:tcBorders>
                </w:tcPr>
                <w:p/>
              </w:tc>
              <w:tc>
                <w:tcPr>
                  <w:tcW w:type="dxa" w:w="12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华为</w:t>
                  </w:r>
                  <w:r>
                    <w:rPr>
                      <w:rFonts w:ascii="仿宋_GB2312" w:hAnsi="仿宋_GB2312" w:cs="仿宋_GB2312" w:eastAsia="仿宋_GB2312"/>
                      <w:sz w:val="20"/>
                      <w:color w:val="000000"/>
                    </w:rPr>
                    <w:t>SYNLOCK 网管</w:t>
                  </w:r>
                </w:p>
              </w:tc>
              <w:tc>
                <w:tcPr>
                  <w:tcW w:type="dxa" w:w="4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20</w:t>
                  </w:r>
                </w:p>
              </w:tc>
              <w:tc>
                <w:tcPr>
                  <w:tcW w:type="dxa" w:w="595"/>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蓄电池</w:t>
                  </w:r>
                </w:p>
                <w:p>
                  <w:pPr>
                    <w:pStyle w:val="null3"/>
                    <w:spacing w:after="120"/>
                    <w:ind w:firstLine="200"/>
                    <w:jc w:val="center"/>
                  </w:pPr>
                </w:p>
              </w:tc>
              <w:tc>
                <w:tcPr>
                  <w:tcW w:type="dxa" w:w="12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24块2V 200 Ah（中兴 SDH）</w:t>
                  </w:r>
                </w:p>
              </w:tc>
              <w:tc>
                <w:tcPr>
                  <w:tcW w:type="dxa" w:w="47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2</w:t>
                  </w:r>
                </w:p>
              </w:tc>
            </w:tr>
            <w:tr>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21</w:t>
                  </w:r>
                </w:p>
              </w:tc>
              <w:tc>
                <w:tcPr>
                  <w:tcW w:type="dxa" w:w="595"/>
                  <w:vMerge/>
                  <w:tcBorders>
                    <w:top w:val="none" w:color="000000" w:sz="4"/>
                    <w:left w:val="none" w:color="000000" w:sz="4"/>
                    <w:bottom w:val="single" w:color="000000" w:sz="4"/>
                    <w:right w:val="single" w:color="000000" w:sz="4"/>
                  </w:tcBorders>
                </w:tcPr>
                <w:p/>
              </w:tc>
              <w:tc>
                <w:tcPr>
                  <w:tcW w:type="dxa" w:w="12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24块 2V 200 Ah（华为SDH）</w:t>
                  </w:r>
                </w:p>
              </w:tc>
              <w:tc>
                <w:tcPr>
                  <w:tcW w:type="dxa" w:w="47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2</w:t>
                  </w:r>
                </w:p>
              </w:tc>
            </w:tr>
            <w:tr>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22</w:t>
                  </w:r>
                </w:p>
              </w:tc>
              <w:tc>
                <w:tcPr>
                  <w:tcW w:type="dxa" w:w="595"/>
                  <w:vMerge/>
                  <w:tcBorders>
                    <w:top w:val="none" w:color="000000" w:sz="4"/>
                    <w:left w:val="none" w:color="000000" w:sz="4"/>
                    <w:bottom w:val="single" w:color="000000" w:sz="4"/>
                    <w:right w:val="single" w:color="000000" w:sz="4"/>
                  </w:tcBorders>
                </w:tcPr>
                <w:p/>
              </w:tc>
              <w:tc>
                <w:tcPr>
                  <w:tcW w:type="dxa" w:w="12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4块48V200 Ah（中兴 OTN）</w:t>
                  </w:r>
                </w:p>
              </w:tc>
              <w:tc>
                <w:tcPr>
                  <w:tcW w:type="dxa" w:w="47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23</w:t>
                  </w:r>
                </w:p>
              </w:tc>
              <w:tc>
                <w:tcPr>
                  <w:tcW w:type="dxa" w:w="595"/>
                  <w:vMerge/>
                  <w:tcBorders>
                    <w:top w:val="none" w:color="000000" w:sz="4"/>
                    <w:left w:val="none" w:color="000000" w:sz="4"/>
                    <w:bottom w:val="single" w:color="000000" w:sz="4"/>
                    <w:right w:val="single" w:color="000000" w:sz="4"/>
                  </w:tcBorders>
                </w:tcPr>
                <w:p/>
              </w:tc>
              <w:tc>
                <w:tcPr>
                  <w:tcW w:type="dxa" w:w="12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4块48V200 Ah（华为 OTN）</w:t>
                  </w:r>
                </w:p>
              </w:tc>
              <w:tc>
                <w:tcPr>
                  <w:tcW w:type="dxa" w:w="47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24</w:t>
                  </w:r>
                </w:p>
              </w:tc>
              <w:tc>
                <w:tcPr>
                  <w:tcW w:type="dxa" w:w="2284"/>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其它通信相关协议转换设备、通信环境等</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二、服务内容</w:t>
            </w:r>
            <w:r>
              <w:br/>
            </w:r>
            <w:r>
              <w:rPr>
                <w:rFonts w:ascii="仿宋_GB2312" w:hAnsi="仿宋_GB2312" w:cs="仿宋_GB2312" w:eastAsia="仿宋_GB2312"/>
              </w:rPr>
              <w:t xml:space="preserve"> 供应商应安排驻场运维工程师提供5*8小时的传输设备、网管系统、程控交换设备、ODF光纤配线架、配套的备用供电系统等运行情况进行现场巡检、实时监测和预警服务。常规时期现场巡检不少于每天2次，特殊时期，如电力故障或重保期间现场巡检不少于每天4次，并做好每日巡检记录。如出现设备故障问题，及时协助采购人协调相关厂商进行维修，并做好事件记录和故障报告的编写工作。其中本项目实施过程中所需的辅料辅材及价值低于3000元的低值易耗品由供应商负责维修及更换工作，采购人不再另行支付。</w:t>
            </w:r>
            <w:r>
              <w:br/>
            </w:r>
            <w:r>
              <w:rPr>
                <w:rFonts w:ascii="仿宋_GB2312" w:hAnsi="仿宋_GB2312" w:cs="仿宋_GB2312" w:eastAsia="仿宋_GB2312"/>
              </w:rPr>
              <w:t xml:space="preserve"> （一）传输设备运行监控</w:t>
            </w:r>
            <w:r>
              <w:br/>
            </w:r>
            <w:r>
              <w:rPr>
                <w:rFonts w:ascii="仿宋_GB2312" w:hAnsi="仿宋_GB2312" w:cs="仿宋_GB2312" w:eastAsia="仿宋_GB2312"/>
              </w:rPr>
              <w:t xml:space="preserve"> 通过现场巡查的方式对中心机房传输硬件设备的运行状态进行巡检、记录。异常情况，应第一时间报告采购人，并按实际情况进行处理。确有需要的，协调厂商进行故障排查和维修。提交《巡检报告》《服务事件记录》《故障报告》。工作日内巡检每日不少于2次、特殊情况不少于4次。</w:t>
            </w:r>
            <w:r>
              <w:br/>
            </w:r>
            <w:r>
              <w:rPr>
                <w:rFonts w:ascii="仿宋_GB2312" w:hAnsi="仿宋_GB2312" w:cs="仿宋_GB2312" w:eastAsia="仿宋_GB2312"/>
              </w:rPr>
              <w:t xml:space="preserve"> （二）网管系统运行监测</w:t>
            </w:r>
            <w:r>
              <w:br/>
            </w:r>
            <w:r>
              <w:rPr>
                <w:rFonts w:ascii="仿宋_GB2312" w:hAnsi="仿宋_GB2312" w:cs="仿宋_GB2312" w:eastAsia="仿宋_GB2312"/>
              </w:rPr>
              <w:t xml:space="preserve"> 通过现场巡查的方式对中心网管系统的运行状态进行巡检、记录；对中心网管系统日志进行监测，及时通告、处置相关告警。异常情况，应第一时间报告采购人，并按实际情况进行处理。确有需要的，协调厂商进行故障排查和维修。提交《巡检报告》《服务事件记录》《故障报告》。工作日内巡检每日不少于2次、特殊情况不少于4次。</w:t>
            </w:r>
            <w:r>
              <w:br/>
            </w:r>
            <w:r>
              <w:rPr>
                <w:rFonts w:ascii="仿宋_GB2312" w:hAnsi="仿宋_GB2312" w:cs="仿宋_GB2312" w:eastAsia="仿宋_GB2312"/>
              </w:rPr>
              <w:t xml:space="preserve"> （三）ODF光纤配线架运行监测</w:t>
            </w:r>
            <w:r>
              <w:br/>
            </w:r>
            <w:r>
              <w:rPr>
                <w:rFonts w:ascii="仿宋_GB2312" w:hAnsi="仿宋_GB2312" w:cs="仿宋_GB2312" w:eastAsia="仿宋_GB2312"/>
              </w:rPr>
              <w:t xml:space="preserve"> 通过现场巡查方式对ODF光纤配线架的检查连接状态和光纤的外观损耗情况并进行巡检和记录；定期对ODF光纤配线架清洁避免灰尘和污垢的积累影响光信号的传输。异常情况，应第一时间报告采购人，并按实际情况进行处理。确有需要的，协调厂商进行故障排查和维修。提交《巡检报告》《服务事件记录》《故障报告》。工作日内巡检每日不少于2次、特殊情况不少于4次。</w:t>
            </w:r>
            <w:r>
              <w:br/>
            </w:r>
            <w:r>
              <w:rPr>
                <w:rFonts w:ascii="仿宋_GB2312" w:hAnsi="仿宋_GB2312" w:cs="仿宋_GB2312" w:eastAsia="仿宋_GB2312"/>
              </w:rPr>
              <w:t xml:space="preserve"> （四）程控交换系统运行监测</w:t>
            </w:r>
            <w:r>
              <w:br/>
            </w:r>
            <w:r>
              <w:rPr>
                <w:rFonts w:ascii="仿宋_GB2312" w:hAnsi="仿宋_GB2312" w:cs="仿宋_GB2312" w:eastAsia="仿宋_GB2312"/>
              </w:rPr>
              <w:t xml:space="preserve"> 通过现场巡查的方式对中心程控交换系统的运行状态进行巡检、记录。异常情况，应第一时间报告采购人，并按实际情况进行处理。确有需要的，协调厂商进行故障排查和维修。提交《巡检报告》《服务事件记录》《故障报告》。工作日内巡检每日不少于2次、特殊情况不少于4次。</w:t>
            </w:r>
            <w:r>
              <w:br/>
            </w:r>
            <w:r>
              <w:rPr>
                <w:rFonts w:ascii="仿宋_GB2312" w:hAnsi="仿宋_GB2312" w:cs="仿宋_GB2312" w:eastAsia="仿宋_GB2312"/>
              </w:rPr>
              <w:t xml:space="preserve"> （五）传输系统配套备用供电系统运行监测</w:t>
            </w:r>
            <w:r>
              <w:br/>
            </w:r>
            <w:r>
              <w:rPr>
                <w:rFonts w:ascii="仿宋_GB2312" w:hAnsi="仿宋_GB2312" w:cs="仿宋_GB2312" w:eastAsia="仿宋_GB2312"/>
              </w:rPr>
              <w:t xml:space="preserve"> 通过现场巡查的方式对中心传输系统配套电源的运行状态进行巡检、记录。每半年人为充放电一次，测试UPS电池应急运行状态。异常情况，应第一时间报告采购人，并按实际情况进行处理。确有需要的，协调厂商进行故障排查和维修。提交《巡检报告》《服务事件记录》《故障报告》。工作日内巡检每日不少于2次、特殊情况不少于4次。</w:t>
            </w:r>
            <w:r>
              <w:br/>
            </w:r>
            <w:r>
              <w:rPr>
                <w:rFonts w:ascii="仿宋_GB2312" w:hAnsi="仿宋_GB2312" w:cs="仿宋_GB2312" w:eastAsia="仿宋_GB2312"/>
              </w:rPr>
              <w:t xml:space="preserve"> （六）传输资产管理</w:t>
            </w:r>
            <w:r>
              <w:br/>
            </w:r>
            <w:r>
              <w:rPr>
                <w:rFonts w:ascii="仿宋_GB2312" w:hAnsi="仿宋_GB2312" w:cs="仿宋_GB2312" w:eastAsia="仿宋_GB2312"/>
              </w:rPr>
              <w:t xml:space="preserve"> 每年提供传输详细的时隙业务分配、光缆拓扑、设备软硬件配置、电路使用、其它各系统设备的软硬件配置、资源分配等方面的文字材料。提交《资产清单》。</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三、服务要求</w:t>
            </w:r>
            <w:r>
              <w:br/>
            </w:r>
            <w:r>
              <w:rPr>
                <w:rFonts w:ascii="仿宋_GB2312" w:hAnsi="仿宋_GB2312" w:cs="仿宋_GB2312" w:eastAsia="仿宋_GB2312"/>
              </w:rPr>
              <w:t xml:space="preserve"> （一）服务基本要求</w:t>
            </w:r>
            <w:r>
              <w:br/>
            </w:r>
            <w:r>
              <w:rPr>
                <w:rFonts w:ascii="仿宋_GB2312" w:hAnsi="仿宋_GB2312" w:cs="仿宋_GB2312" w:eastAsia="仿宋_GB2312"/>
              </w:rPr>
              <w:t xml:space="preserve"> 1.服务时间</w:t>
            </w:r>
            <w:r>
              <w:br/>
            </w:r>
            <w:r>
              <w:rPr>
                <w:rFonts w:ascii="仿宋_GB2312" w:hAnsi="仿宋_GB2312" w:cs="仿宋_GB2312" w:eastAsia="仿宋_GB2312"/>
              </w:rPr>
              <w:t xml:space="preserve"> 本次服务时间为2026年5月1日至2027年4月30日。</w:t>
            </w:r>
            <w:r>
              <w:br/>
            </w:r>
            <w:r>
              <w:rPr>
                <w:rFonts w:ascii="仿宋_GB2312" w:hAnsi="仿宋_GB2312" w:cs="仿宋_GB2312" w:eastAsia="仿宋_GB2312"/>
              </w:rPr>
              <w:t xml:space="preserve"> 2.服务地点</w:t>
            </w:r>
            <w:r>
              <w:br/>
            </w:r>
            <w:r>
              <w:rPr>
                <w:rFonts w:ascii="仿宋_GB2312" w:hAnsi="仿宋_GB2312" w:cs="仿宋_GB2312" w:eastAsia="仿宋_GB2312"/>
              </w:rPr>
              <w:t xml:space="preserve"> 服务地点：陕西省高速公路收费中心</w:t>
            </w:r>
            <w:r>
              <w:br/>
            </w:r>
            <w:r>
              <w:rPr>
                <w:rFonts w:ascii="仿宋_GB2312" w:hAnsi="仿宋_GB2312" w:cs="仿宋_GB2312" w:eastAsia="仿宋_GB2312"/>
              </w:rPr>
              <w:t xml:space="preserve"> 3.技术支持服务</w:t>
            </w:r>
            <w:r>
              <w:br/>
            </w:r>
            <w:r>
              <w:rPr>
                <w:rFonts w:ascii="仿宋_GB2312" w:hAnsi="仿宋_GB2312" w:cs="仿宋_GB2312" w:eastAsia="仿宋_GB2312"/>
              </w:rPr>
              <w:t xml:space="preserve"> （1）传输设备维护内容至少应包括：电源输出电压监测，机柜顶端指示灯、单板指示灯、设备风扇运行的状态监测、电源线连接检查、线缆标签检查及接地电阻检测等。</w:t>
            </w:r>
            <w:r>
              <w:br/>
            </w:r>
            <w:r>
              <w:rPr>
                <w:rFonts w:ascii="仿宋_GB2312" w:hAnsi="仿宋_GB2312" w:cs="仿宋_GB2312" w:eastAsia="仿宋_GB2312"/>
              </w:rPr>
              <w:t xml:space="preserve"> （2）网管系统维护内容至少包括：网元检查、单板状态检查、告警及性能事件检查、保护倒换检查、高级设置检查、网关的启动关闭检查、ECC路由检查、网元时间及单板配置信息查询、NES网管数据库的转储和整理、网管数据库的备份、网管计算机的维护、各种硬件接口测试等。</w:t>
            </w:r>
            <w:r>
              <w:br/>
            </w:r>
            <w:r>
              <w:rPr>
                <w:rFonts w:ascii="仿宋_GB2312" w:hAnsi="仿宋_GB2312" w:cs="仿宋_GB2312" w:eastAsia="仿宋_GB2312"/>
              </w:rPr>
              <w:t xml:space="preserve"> （3）ODF光纤配线架维护内容至少包括：ODF光纤配线架的检查连接状态和光纤外观损耗情况进行检查，对ODF光纤配线架清洁避免灰尘和污垢的积累影响光信号的传输，检查尾纤标签是否清晰、准确。</w:t>
            </w:r>
            <w:r>
              <w:br/>
            </w:r>
            <w:r>
              <w:rPr>
                <w:rFonts w:ascii="仿宋_GB2312" w:hAnsi="仿宋_GB2312" w:cs="仿宋_GB2312" w:eastAsia="仿宋_GB2312"/>
              </w:rPr>
              <w:t xml:space="preserve"> （4）程控交换系统维护内容至少包括：数据维护（公共配置、中继、信令）、BAM、供电系统、时钟校准、告警系统、各级软硬件、信令链路、中继设备、接地电阻、线路检查记录、断线检查、话机故障检查、用户数据备份、保险装置性能检查、单板除尘等。</w:t>
            </w:r>
            <w:r>
              <w:br/>
            </w:r>
            <w:r>
              <w:rPr>
                <w:rFonts w:ascii="仿宋_GB2312" w:hAnsi="仿宋_GB2312" w:cs="仿宋_GB2312" w:eastAsia="仿宋_GB2312"/>
              </w:rPr>
              <w:t xml:space="preserve"> （5）电源设备维护内容至少包括：参数配置检查、工作状态检查、滤尘网及风扇清洁、通信电源的交流配电单元、整流模块、直流配电单元、蓄电池组、防雷保护等进行检查、维护。电源主机的清洁及变换器的维护；在不经常停电时，至少每半年人为充放电一次，测试蓄电池应急运行状态。蓄电池每月检查整组电池的浮充电压、单体电池浮充电压，有无漏液的情况、电池架、连接线、端子是否有松动或锈蚀等。</w:t>
            </w:r>
            <w:r>
              <w:br/>
            </w:r>
            <w:r>
              <w:rPr>
                <w:rFonts w:ascii="仿宋_GB2312" w:hAnsi="仿宋_GB2312" w:cs="仿宋_GB2312" w:eastAsia="仿宋_GB2312"/>
              </w:rPr>
              <w:t xml:space="preserve"> （6）通信设备环境维护内容至少包括：设备环境变量检查、环境清洁度、温度检查、湿度检查、地面清扫、检查地板平整度、地面吸尘、地面保温层检查等；每季度进行一次地面完好度检查和排除设备周边环境可能存在的隐患；每年对通信设备环境进行深度清洁保养及全面排查可能存在的隐患。</w:t>
            </w:r>
            <w:r>
              <w:br/>
            </w:r>
            <w:r>
              <w:rPr>
                <w:rFonts w:ascii="仿宋_GB2312" w:hAnsi="仿宋_GB2312" w:cs="仿宋_GB2312" w:eastAsia="仿宋_GB2312"/>
              </w:rPr>
              <w:t xml:space="preserve"> （7）至少每半年对各系统接地地线、电源线连接检查一次。</w:t>
            </w:r>
            <w:r>
              <w:br/>
            </w:r>
            <w:r>
              <w:rPr>
                <w:rFonts w:ascii="仿宋_GB2312" w:hAnsi="仿宋_GB2312" w:cs="仿宋_GB2312" w:eastAsia="仿宋_GB2312"/>
              </w:rPr>
              <w:t xml:space="preserve"> （8）以上项目检查完成后，应提供传输设备的业务分配、光缆拓扑、设备软硬件配置、电路使用、其它各系统设备的软硬件配置、资源分配等方面的文字材料。</w:t>
            </w:r>
            <w:r>
              <w:br/>
            </w:r>
            <w:r>
              <w:rPr>
                <w:rFonts w:ascii="仿宋_GB2312" w:hAnsi="仿宋_GB2312" w:cs="仿宋_GB2312" w:eastAsia="仿宋_GB2312"/>
              </w:rPr>
              <w:t xml:space="preserve"> （9）按月提交维护计划、维护清单、维护记录、维护总结等。</w:t>
            </w:r>
            <w:r>
              <w:br/>
            </w:r>
            <w:r>
              <w:rPr>
                <w:rFonts w:ascii="仿宋_GB2312" w:hAnsi="仿宋_GB2312" w:cs="仿宋_GB2312" w:eastAsia="仿宋_GB2312"/>
              </w:rPr>
              <w:t xml:space="preserve"> （10）提供7×24小时不间断的维护技术支持、故障受理及处理。</w:t>
            </w:r>
            <w:r>
              <w:br/>
            </w:r>
            <w:r>
              <w:rPr>
                <w:rFonts w:ascii="仿宋_GB2312" w:hAnsi="仿宋_GB2312" w:cs="仿宋_GB2312" w:eastAsia="仿宋_GB2312"/>
              </w:rPr>
              <w:t xml:space="preserve"> 4.其他要求</w:t>
            </w:r>
            <w:r>
              <w:br/>
            </w:r>
            <w:r>
              <w:rPr>
                <w:rFonts w:ascii="仿宋_GB2312" w:hAnsi="仿宋_GB2312" w:cs="仿宋_GB2312" w:eastAsia="仿宋_GB2312"/>
              </w:rPr>
              <w:t xml:space="preserve"> （1）供应商在合同签订后10日内，安排驻场运维人员到场，开展运维工作。</w:t>
            </w:r>
            <w:r>
              <w:br/>
            </w:r>
            <w:r>
              <w:rPr>
                <w:rFonts w:ascii="仿宋_GB2312" w:hAnsi="仿宋_GB2312" w:cs="仿宋_GB2312" w:eastAsia="仿宋_GB2312"/>
              </w:rPr>
              <w:t xml:space="preserve"> （2）供应商应具备完善的技术支持和售后服务体系，并在服务期内承诺提供7*24小时的电话支持服务、故障处理服务等。</w:t>
            </w:r>
            <w:r>
              <w:br/>
            </w:r>
            <w:r>
              <w:rPr>
                <w:rFonts w:ascii="仿宋_GB2312" w:hAnsi="仿宋_GB2312" w:cs="仿宋_GB2312" w:eastAsia="仿宋_GB2312"/>
              </w:rPr>
              <w:t xml:space="preserve"> （3）网络故障承诺2小时到现场进行处理。</w:t>
            </w:r>
            <w:r>
              <w:br/>
            </w:r>
            <w:r>
              <w:rPr>
                <w:rFonts w:ascii="仿宋_GB2312" w:hAnsi="仿宋_GB2312" w:cs="仿宋_GB2312" w:eastAsia="仿宋_GB2312"/>
              </w:rPr>
              <w:t xml:space="preserve"> （4）供应商应配合采购方在法定时间内完成合同的签订工作，签订地点由采购方指定。</w:t>
            </w:r>
            <w:r>
              <w:br/>
            </w:r>
            <w:r>
              <w:rPr>
                <w:rFonts w:ascii="仿宋_GB2312" w:hAnsi="仿宋_GB2312" w:cs="仿宋_GB2312" w:eastAsia="仿宋_GB2312"/>
              </w:rPr>
              <w:t xml:space="preserve"> （二）项目人员管理要求</w:t>
            </w:r>
            <w:r>
              <w:br/>
            </w:r>
            <w:r>
              <w:rPr>
                <w:rFonts w:ascii="仿宋_GB2312" w:hAnsi="仿宋_GB2312" w:cs="仿宋_GB2312" w:eastAsia="仿宋_GB2312"/>
              </w:rPr>
              <w:t xml:space="preserve"> 供应商应对服务人员及现场驻场人员素质整体把关，原则上应满足以下条件：</w:t>
            </w:r>
            <w:r>
              <w:br/>
            </w:r>
            <w:r>
              <w:rPr>
                <w:rFonts w:ascii="仿宋_GB2312" w:hAnsi="仿宋_GB2312" w:cs="仿宋_GB2312" w:eastAsia="仿宋_GB2312"/>
              </w:rPr>
              <w:t xml:space="preserve"> 1.拥有三年以上通信行业从业经验，了解高速公路通信系统结构，能在第一时间时间判断故障类型及路段。具备通信系统运维相关技术资质。</w:t>
            </w:r>
            <w:r>
              <w:br/>
            </w:r>
            <w:r>
              <w:rPr>
                <w:rFonts w:ascii="仿宋_GB2312" w:hAnsi="仿宋_GB2312" w:cs="仿宋_GB2312" w:eastAsia="仿宋_GB2312"/>
              </w:rPr>
              <w:t xml:space="preserve"> 2.安排至少一人驻场，提供5*8小时值守服务，驻场期间产生的一切费用由供应商提供。</w:t>
            </w:r>
            <w:r>
              <w:br/>
            </w:r>
            <w:r>
              <w:rPr>
                <w:rFonts w:ascii="仿宋_GB2312" w:hAnsi="仿宋_GB2312" w:cs="仿宋_GB2312" w:eastAsia="仿宋_GB2312"/>
              </w:rPr>
              <w:t xml:space="preserve"> （三）网络安全要求</w:t>
            </w:r>
            <w:r>
              <w:br/>
            </w:r>
            <w:r>
              <w:rPr>
                <w:rFonts w:ascii="仿宋_GB2312" w:hAnsi="仿宋_GB2312" w:cs="仿宋_GB2312" w:eastAsia="仿宋_GB2312"/>
              </w:rPr>
              <w:t xml:space="preserve"> 供应商具备健全的网络安全服务体系，具有网络安全隐患排查、完善加固、预警监测、应对攻击等服务能力，配备具有相关技术能力的网络安全专项人员，为本项目提供漏洞检测、策略配置、加固整改、安全监测、应急处置等保障措施，确保系统安全稳定运行，按照要求签署网络安全责任协议。</w:t>
            </w:r>
            <w:r>
              <w:br/>
            </w:r>
            <w:r>
              <w:rPr>
                <w:rFonts w:ascii="仿宋_GB2312" w:hAnsi="仿宋_GB2312" w:cs="仿宋_GB2312" w:eastAsia="仿宋_GB2312"/>
              </w:rPr>
              <w:t xml:space="preserve"> （四）保密要求</w:t>
            </w:r>
            <w:r>
              <w:br/>
            </w:r>
            <w:r>
              <w:rPr>
                <w:rFonts w:ascii="仿宋_GB2312" w:hAnsi="仿宋_GB2312" w:cs="仿宋_GB2312" w:eastAsia="仿宋_GB2312"/>
              </w:rPr>
              <w:t xml:space="preserve"> 项目实施过程中所收集、产生的所有与本项目相关的文档、资料，包括文字、图片、表格、数字等各种形式所属权均归属省中心，供应商必须对所涉及到的内容保密，供应商及服务人员应按照要求签署保密协议。保密期限不受合同有效期的限制，在合同有效期结束后，供应商仍应承担保密义务。</w:t>
            </w:r>
            <w:r>
              <w:br/>
            </w:r>
            <w:r>
              <w:rPr>
                <w:rFonts w:ascii="仿宋_GB2312" w:hAnsi="仿宋_GB2312" w:cs="仿宋_GB2312" w:eastAsia="仿宋_GB2312"/>
              </w:rPr>
              <w:t xml:space="preserve"> （五）供应链管理</w:t>
            </w:r>
            <w:r>
              <w:br/>
            </w:r>
            <w:r>
              <w:rPr>
                <w:rFonts w:ascii="仿宋_GB2312" w:hAnsi="仿宋_GB2312" w:cs="仿宋_GB2312" w:eastAsia="仿宋_GB2312"/>
              </w:rPr>
              <w:t xml:space="preserve"> 供应商应严格落实网络安全和保密及人员管理要求，承担相应人员的网络安全和保密及人员管理责任，按要求签订协议和承诺书。供应商应强化配备人员管理，项目团队成员一经确认，原则上不得更换。如因特殊情况确需调整，须提前15个日历天向采购人提交书面申请，经采购人审核同意后方可更换，且替换人员的职称、专业背景、从业年限及项目经验不得低于原定人员标准，确保项目服务质量不受影响。</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2026年5月1日至2027年4月30日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陕西省高速公路收费中心指定地点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所提供服务应遵循中华人民共和国及地方的有关法律规范，达到采购人使用要求，由采购人组织验收。验收依据：（1）竞争性磋商文件；（2）磋商响应文件；（3）合同文本；（4）国家有关的验收标准及规范。 项目履约验收主体为采购人，验收工作流程为供应商提出验收申请之日起30日内，由采购人组织验收工作。本项目为一次性验收，采购人严格按照磋商文件、响应文件和合同约定内容进行履约验收。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生效并进入服务期后按月支付服务费（供应商须向采购人出具合法有效的发票，采购人进行支付结算。首次支付时供应商应开具全额发票。），供应商按照合同约定每月完成服务并提交服务报告，经采购人审核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服务期第二个月，供应商按照合同约定每月完成服务并提交服务报告，经采购人审核后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服务期第三个月，供应商按照合同约定每月完成服务并提交服务报告，经采购人审核后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服务期第四个月，供应商按照合同约定每月完成服务并提交服务报告，经采购人审核后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服务期第五个月，供应商按照合同约定每月完成服务并提交服务报告，经采购人审核后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服务期第六个月，供应商按照合同约定每月完成服务并提交服务报告，经采购人审核后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服务期第七个月，供应商按照合同约定每月完成服务并提交服务报告，经采购人审核后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服务期第八个月，2026年12月申请年度最后一次支付时，供应商需提供剩余款项的有效银行保函（待到项目验收通过后中心退还保函）</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41.69</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1.因供应商原因，未及时提交通信系统维护资料的每次扣除维护服务费500元，从当期维护服务费中扣除。 2.出现下列情况,每次扣除维护服务费1000元，从当期维护服务费中扣除。 （1）供应商提供通信维护服务，应做好巡检和维护记录，因巡检不到位造成故障不能及时发现处置。 （2）因通信系统引发的故障，务必做好故障处理等工作，因故障处理不及时，导致系统故障并影响业务运行。 （3）因供应商原因造成的链路故障并影响业务运行。 3.维护系统的设备（软件）出现弱口令，发现1个弱口令，扣除维护服务费5000元，从当期维护服务费中扣除。 4.因供应商原因，导致合同无法按时签订的，视为对项目的自动放弃，采购方有权取消供应商的中标或成交资格、并有权依据采购文件中的约定及相关法律规定，追究供应商的违约责任。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一、采购项目需要落实的政府采购政策 1、《国务院办公厅关于建立政府强制采购节能产品制度的通知》（国办发〔2007〕51号）； 2、《财政部 司法部关于政府采购支持监狱企业发展有关问题的通知》（财库〔2014〕68号）； 3、《三部门联合发布关于促进残疾人就业政府采购政策的通知》（财库〔2017〕141号）； 4、《财政部 发展改革委 生态环境部 市场监管总局关于调整优化节能产品、环境标志产品政府采购执行机制的通知》（财库〔2019〕9号）； 5、《关于运用政府采购政策支持乡村产业振兴的通知》（财库〔2021〕19号）； 6、《政府采购促进中小企业发展管理办法》（财库〔2020〕46号）； 7、陕西省财政厅关于印发《陕西省中小企业政府采购信用融资办法》（陕财办采〔2018〕23号）； 8、《关于进一步加大政府采购支持中小企业力度的通知》（财库〔2022〕19号）； 9、《关于扩大政府采购支持绿色建材促进建筑品质提升政策实施范围的通知》（财库〔2022〕35号） 10、财库(2026)2号-关于推动解决政府采购异常低价问题的通知 11、国办发〔2025]34号-国务院办公厅关于在政府采购中实施本国产品标准及相关政策的通知 二、采购文件中“采购项目需要落实的政府采购政策” 采购项目需要落实的政府采购政策： 政府采购信用融资政策 政府采购信用融资是指银行业金融机构以政府采购诚信考核和信用审查为基础，凭借政府采购合同，按优于一般中小企业的贷款利率直接向申请贷款的供应商发放贷款的一种融资方式。融资金额未超过政府采购合同金额的，银行原则上不得要求供应商提供财产抵押或第三方担保或其他任何形式的担保条件。 依据《陕西省财政厅关于印发〈陕西省中小企业政府采购信用融资办法〉的通知》（陕财办采〔2018〕23号）、《陕西省财政厅关于加快推进我省中小企业政府采购信用融资工作的通知》（陕财办采[2020]15号），有融资需求的供应商可根据自身情况，在“陕西政府采购信用融资平台（含各市分平台）”查询并办理相关业务。 三、磋商保证金退还：成交通知书发出之日起5个工作日内退还未成交供应商的磋商保证金，自政府采购合同签订之日起5个工作日内退还成交人的磋商保证金。 四、磋商文件中所有的商务要求均为实质性要求，供应商必须响应并满足。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法人或者其他组织提供营业执照等证明文件，自然人提供身份证件，供应商需在项目电子化交易系统中按要求上传相应证明文件并进行电子签章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供应商提供在本项目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或2025年度经审计的财务审计报告（事业法人可提供部门决算报告）；或供应商基本账户银行出具的资信证明；或提供专业担保机构出具的投标担保函，供应商需在项目电子化交易系统中按要求上传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参加本次政府采购活动前3年内在经营活动中没有重大违法记录的书面声明</w:t>
            </w:r>
          </w:p>
        </w:tc>
        <w:tc>
          <w:tcPr>
            <w:tcW w:type="dxa" w:w="3322"/>
          </w:tcPr>
          <w:p>
            <w:pPr>
              <w:pStyle w:val="null3"/>
            </w:pPr>
            <w:r>
              <w:rPr>
                <w:rFonts w:ascii="仿宋_GB2312" w:hAnsi="仿宋_GB2312" w:cs="仿宋_GB2312" w:eastAsia="仿宋_GB2312"/>
              </w:rPr>
              <w:t>供应商需提供参加本次政府采购活动前3年内在经营活动中没有重大违法记录的书面声明并进行电子签章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具有履行合同所必需的设备和专业技术能力书面声明函</w:t>
            </w:r>
          </w:p>
        </w:tc>
        <w:tc>
          <w:tcPr>
            <w:tcW w:type="dxa" w:w="3322"/>
          </w:tcPr>
          <w:p>
            <w:pPr>
              <w:pStyle w:val="null3"/>
            </w:pPr>
            <w:r>
              <w:rPr>
                <w:rFonts w:ascii="仿宋_GB2312" w:hAnsi="仿宋_GB2312" w:cs="仿宋_GB2312" w:eastAsia="仿宋_GB2312"/>
              </w:rPr>
              <w:t>供应商需提供具有履行合同所必需的设备和专业技术能力书面声明函并进行电子签章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信用状况</w:t>
            </w:r>
          </w:p>
        </w:tc>
        <w:tc>
          <w:tcPr>
            <w:tcW w:type="dxa" w:w="3322"/>
          </w:tcPr>
          <w:p>
            <w:pPr>
              <w:pStyle w:val="null3"/>
            </w:pPr>
            <w:r>
              <w:rPr>
                <w:rFonts w:ascii="仿宋_GB2312" w:hAnsi="仿宋_GB2312" w:cs="仿宋_GB2312" w:eastAsia="仿宋_GB2312"/>
              </w:rPr>
              <w:t>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的网站查询记录为准</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法定代表人授权书及被授权人身份证明。（法定代表人直接磋商只须提供其身份证明）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提供直接控股和管理关系清单。若与其他供应商存在单位负责人为同一人或者存在直接控股、管理关系的，则磋商无效。</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本项目专门面向中小企业采购(残疾人福利性单位、监狱企业视同小型、微型企业)，供应商需提供《中小企业声明函》(监狱企业的证明文件或《残疾人福利性单位声明函》)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 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政府采购异常低价审查 （1）政府采购评审中出现下列情形之一的，评审委员会应当启动异常低价投标（响应）审查程序： ①.投标（响应）报价低于全部通过符合性审查供应商投标（响应）报价平均值50%的，即投标（响应）报价＜全部通过符合性审查供应商投标（响应）报价平均值×50%； ②.投标（响应）报价低于通过符合性审查的次低报价供应商投标（响应）报价50%的，即投标（响应）报价＜通过符合性审查的次低报价供应商投标（响应）报价×50%； ③.投标（响应）报价低于采购项目最高限价45%的，即投标（响应）报价＜采购项目最高限价×45%； ④.评审委员会基于专业判断，认为供应商报价过低，有可能影响产品质量或者不能诚信履约的其他情形。 相关法律法规对供应商报价有规定的，从其规定。 （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时间为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响应函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响应有效期达到磋商文件要求。</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响应文件按磋商文件要求签字、盖章。</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w:t>
            </w:r>
          </w:p>
        </w:tc>
        <w:tc>
          <w:tcPr>
            <w:tcW w:type="dxa" w:w="3322"/>
          </w:tcPr>
          <w:p>
            <w:pPr>
              <w:pStyle w:val="null3"/>
            </w:pPr>
            <w:r>
              <w:rPr>
                <w:rFonts w:ascii="仿宋_GB2312" w:hAnsi="仿宋_GB2312" w:cs="仿宋_GB2312" w:eastAsia="仿宋_GB2312"/>
              </w:rPr>
              <w:t>保证金交纳符合磋商文件要求</w:t>
            </w:r>
          </w:p>
        </w:tc>
        <w:tc>
          <w:tcPr>
            <w:tcW w:type="dxa" w:w="1661"/>
          </w:tcPr>
          <w:p>
            <w:pPr>
              <w:pStyle w:val="null3"/>
            </w:pPr>
            <w:r>
              <w:rPr>
                <w:rFonts w:ascii="仿宋_GB2312" w:hAnsi="仿宋_GB2312" w:cs="仿宋_GB2312" w:eastAsia="仿宋_GB2312"/>
              </w:rPr>
              <w:t>供应商认为有必要说明的问题.docx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服务期符合磋商文件要求。</w:t>
            </w:r>
          </w:p>
        </w:tc>
        <w:tc>
          <w:tcPr>
            <w:tcW w:type="dxa" w:w="1661"/>
          </w:tcPr>
          <w:p>
            <w:pPr>
              <w:pStyle w:val="null3"/>
            </w:pPr>
            <w:r>
              <w:rPr>
                <w:rFonts w:ascii="仿宋_GB2312" w:hAnsi="仿宋_GB2312" w:cs="仿宋_GB2312" w:eastAsia="仿宋_GB2312"/>
              </w:rPr>
              <w:t>商务应答表 服务内容及服务要求应答表 供应商认为有必要说明的问题.docx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响应文件封面 分项报价表.docx 中小企业声明函 残疾人福利性单位声明函 商务应答表 服务内容及服务要求应答表 标的清单 报价表 供应商认为有必要说明的问题.docx 响应函 监狱企业的证明文件 供应商资格条件证明文件.docx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项目重点难点分析、应对措施及相关的合理化建议</w:t>
            </w:r>
          </w:p>
        </w:tc>
        <w:tc>
          <w:tcPr>
            <w:tcW w:type="dxa" w:w="2492"/>
          </w:tcPr>
          <w:p>
            <w:pPr>
              <w:pStyle w:val="null3"/>
            </w:pPr>
            <w:r>
              <w:rPr>
                <w:rFonts w:ascii="仿宋_GB2312" w:hAnsi="仿宋_GB2312" w:cs="仿宋_GB2312" w:eastAsia="仿宋_GB2312"/>
              </w:rPr>
              <w:t>供应商针对本项目重点难点分析、应对措施及相关的合理化建议，给出具体思路和方案： a.内容完整、分析合理、应对措施科学合理，合理化建议针对性强计8分； b.内容较完整、分析较全面、应对措施基本合理、合理化建议针对性一般计6分； c.内容不够完整、分析不够全面、应对措施不够科学合理、合理化建议针对性不强计4分； d.内容简单有缺项，应对措施不合理，可操作性一般、无针对性计2分； e.无此项方案的计0分。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详细评审--项目重点难点分析、应对措施及相关的合理化建议.docx</w:t>
            </w:r>
          </w:p>
        </w:tc>
      </w:tr>
      <w:tr>
        <w:tc>
          <w:tcPr>
            <w:tcW w:type="dxa" w:w="831"/>
            <w:vMerge/>
          </w:tcPr>
          <w:p/>
        </w:tc>
        <w:tc>
          <w:tcPr>
            <w:tcW w:type="dxa" w:w="1661"/>
          </w:tcPr>
          <w:p>
            <w:pPr>
              <w:pStyle w:val="null3"/>
            </w:pPr>
            <w:r>
              <w:rPr>
                <w:rFonts w:ascii="仿宋_GB2312" w:hAnsi="仿宋_GB2312" w:cs="仿宋_GB2312" w:eastAsia="仿宋_GB2312"/>
              </w:rPr>
              <w:t>运维服务方案</w:t>
            </w:r>
          </w:p>
        </w:tc>
        <w:tc>
          <w:tcPr>
            <w:tcW w:type="dxa" w:w="2492"/>
          </w:tcPr>
          <w:p>
            <w:pPr>
              <w:pStyle w:val="null3"/>
            </w:pPr>
            <w:r>
              <w:rPr>
                <w:rFonts w:ascii="仿宋_GB2312" w:hAnsi="仿宋_GB2312" w:cs="仿宋_GB2312" w:eastAsia="仿宋_GB2312"/>
              </w:rPr>
              <w:t>供应商针对本项目提供运维服务方案，包含但不限于：1.对项目服务需求、背景的理解； 2.识别项目服务内容，针对本项目服务要求提供实施计划； 3.明确管理架构及分工服务体系等：a.服务方案全面、内容细致，需求理解透彻，运维流程合理，贴合本项目实际需求的计12分； b.服务方案较全面、内容较细致，运维流程较合理，较贴合本项目实际需求的计9分； c.服务方案基本全面、内容基本细致，或运维流程基本合理，基本贴合本项目实际需求的计6分； d.服务方案欠全面、内容欠细致，或运维流程欠合理，贴合本项目实际需求不好的计3分。 e.无服务方案的计0分。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详细评审--运维服务方案.docx</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供应商提供具体的项目实施进度计划安排；至少包含：1、日常巡检、定期保养、故障处理、升级、备份、安全的时间安排；2、备品备件到达现场时效；a.计划详尽、科学合理，完全满足项目需求，得7分； b.计划完整，仅满足部分需求得3分； c.计划简单笼统，针对性不强，不能满足项目要求得2分。 d.无计划得0分。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详细评审--进度计划.docx</w:t>
            </w:r>
          </w:p>
        </w:tc>
      </w:tr>
      <w:tr>
        <w:tc>
          <w:tcPr>
            <w:tcW w:type="dxa" w:w="831"/>
            <w:vMerge/>
          </w:tcPr>
          <w:p/>
        </w:tc>
        <w:tc>
          <w:tcPr>
            <w:tcW w:type="dxa" w:w="1661"/>
          </w:tcPr>
          <w:p>
            <w:pPr>
              <w:pStyle w:val="null3"/>
            </w:pPr>
            <w:r>
              <w:rPr>
                <w:rFonts w:ascii="仿宋_GB2312" w:hAnsi="仿宋_GB2312" w:cs="仿宋_GB2312" w:eastAsia="仿宋_GB2312"/>
              </w:rPr>
              <w:t>质量保障措施及方案</w:t>
            </w:r>
          </w:p>
        </w:tc>
        <w:tc>
          <w:tcPr>
            <w:tcW w:type="dxa" w:w="2492"/>
          </w:tcPr>
          <w:p>
            <w:pPr>
              <w:pStyle w:val="null3"/>
            </w:pPr>
            <w:r>
              <w:rPr>
                <w:rFonts w:ascii="仿宋_GB2312" w:hAnsi="仿宋_GB2312" w:cs="仿宋_GB2312" w:eastAsia="仿宋_GB2312"/>
              </w:rPr>
              <w:t>供应商针对本项目提供质量保障措施及方案：包含但不限于1.项目质量管理制度；2.项目资料、保证服务人员的稳定、保证服务的质量、成果安全性保障措施等。 a.项目质量管理制度详细，项目资料、保证服务人员的稳定、保证服务的质量、成果安全性保障措施可行性高的计12分； b.项目质量管理制度较详细，项目资料、保证服务人员的稳定、保证服务的质量、成果安全性保障措施可行性较高的计9分； c.项目质量管理制度不够详细，项目资料、保证服务人员的稳定、保证服务的质量、成果安全性保障措施可行性一般的计6分； d.项目质量管理制度简略，项目资料、保证服务人员的稳定、保证服务的质量、成果安全性保障措施可行性差的计3分。 e.无措施及方案的计0分。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详细评审--质量保障措施及方案.docx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供应商针对本项目提供应急措施，包含但不限于响应时间、故障处理、电话支持、远程服务、现场服务、应急处置流程、应急解决方案等。 a.措施全面合理，内容详细，措施完善，完全满足采购要求，得12分； b.措施基本完整，针对性不够强，基本满足项目要求得9分； c.措施不够完整，针对性一般，很难满足项目要求得6分。 d.措施简单笼统，针对性不强，不能满足项目要求得3分。 e.无措施及方案的计0分。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详细评审--应急措施.docx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1、供应商需提供针对本项目拟投入的团队人员相关信息，不限于团队人员分工、职责、数量及名单。 a.人员分工明确，职责清晰，能充分满足项目需求，可得5分； b.人员分工模糊，职责不明确，仅能满足部分需求，可得3分； c.未提供相关信息则不计分。 2、供应商拟派项目团队成员拥有三年以上通信行业从业经验，了解高速公路通信系统结构，能在第一时间时间判断故障类型及路段或具备通信系统运维相关技术资质。每提供一人得1分，满分3分。 备注：需提供项目团队成员相关证书复印件或从业经验证明材料、供应商为项目团队成员缴纳的2025年1月至今任意一个月的社会保障资金证明或劳动合同或2025年1月至今任意一个月的银行卡工资流水，未提供或提供不全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详细评审--项目团队.docx</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供应商提供针对本项目采购内容及要求提供具体的保密方案，包括但不限于保密管理制度、对数据和信息安全保密等。 a.方案完善、合理、科学有效，能保证项目顺利实施计6分； b.方案不够完善，合理性一般，很难保证项目顺利实施计3分。 c.方案简单笼统，无合理性，无针对性，不能保证项目顺利实施计1分； d.无保密方案的计0分。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详细评审--保密方案.docx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供应商提供针对本项目提供具体的服务承诺，包括但不限于服务质量承诺、保密承诺、应急响应承诺、服务时间、人员配备情况、网络安全、数据安全保障等。 a.服务承诺完整、合理，切实针对本项目实际情况计7分； b.服务承诺不够详细、合理，可行但并不具备借鉴意义计4分。 c.服务承诺简单笼统、有明显漏洞计2分； d.无服务承诺的计0分。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详细评审--服务承诺.docx</w:t>
            </w:r>
          </w:p>
        </w:tc>
      </w:tr>
      <w:tr>
        <w:tc>
          <w:tcPr>
            <w:tcW w:type="dxa" w:w="831"/>
            <w:vMerge/>
          </w:tcPr>
          <w:p/>
        </w:tc>
        <w:tc>
          <w:tcPr>
            <w:tcW w:type="dxa" w:w="1661"/>
          </w:tcPr>
          <w:p>
            <w:pPr>
              <w:pStyle w:val="null3"/>
            </w:pPr>
            <w:r>
              <w:rPr>
                <w:rFonts w:ascii="仿宋_GB2312" w:hAnsi="仿宋_GB2312" w:cs="仿宋_GB2312" w:eastAsia="仿宋_GB2312"/>
              </w:rPr>
              <w:t>企业资质</w:t>
            </w:r>
          </w:p>
        </w:tc>
        <w:tc>
          <w:tcPr>
            <w:tcW w:type="dxa" w:w="2492"/>
          </w:tcPr>
          <w:p>
            <w:pPr>
              <w:pStyle w:val="null3"/>
            </w:pPr>
            <w:r>
              <w:rPr>
                <w:rFonts w:ascii="仿宋_GB2312" w:hAnsi="仿宋_GB2312" w:cs="仿宋_GB2312" w:eastAsia="仿宋_GB2312"/>
              </w:rPr>
              <w:t>供应商须具备有效的ITSS信息技术服务运行维护标准符合性证书（运行维护），得3分；提供证书复印件，并加盖公章。否则不计分。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详细评审--企业资质.docx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至今同类项目业绩证明，每提供1个有效业绩证明得1分，满分5分，不提供不得分。（业绩时间以合同签订时间为准，并提供合同扫描件。复印件能清晰的表明合同双方名称、项目内容和签署日期。同一个项目内容存续期的合同视为同一个业绩。）</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采用低价优先法计算，即满足磋商文件要求且最终磋商价格最低的磋商报价为评标基准价，其价格分为满分。 磋商报价得分＝（磋商基准价／最后磋商报价）×20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详见附件：供应商认为有必要说明的问题.docx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详见附件：详细评审--项目重点难点分析、应对措施及相关的合理化建议.docx</w:t>
      </w:r>
    </w:p>
    <w:p>
      <w:pPr>
        <w:pStyle w:val="null3"/>
        <w:ind w:firstLine="960"/>
      </w:pPr>
      <w:r>
        <w:rPr>
          <w:rFonts w:ascii="仿宋_GB2312" w:hAnsi="仿宋_GB2312" w:cs="仿宋_GB2312" w:eastAsia="仿宋_GB2312"/>
        </w:rPr>
        <w:t>详见附件：详细评审--运维服务方案.docx</w:t>
      </w:r>
    </w:p>
    <w:p>
      <w:pPr>
        <w:pStyle w:val="null3"/>
        <w:ind w:firstLine="960"/>
      </w:pPr>
      <w:r>
        <w:rPr>
          <w:rFonts w:ascii="仿宋_GB2312" w:hAnsi="仿宋_GB2312" w:cs="仿宋_GB2312" w:eastAsia="仿宋_GB2312"/>
        </w:rPr>
        <w:t>详见附件：详细评审--进度计划.docx</w:t>
      </w:r>
    </w:p>
    <w:p>
      <w:pPr>
        <w:pStyle w:val="null3"/>
        <w:ind w:firstLine="960"/>
      </w:pPr>
      <w:r>
        <w:rPr>
          <w:rFonts w:ascii="仿宋_GB2312" w:hAnsi="仿宋_GB2312" w:cs="仿宋_GB2312" w:eastAsia="仿宋_GB2312"/>
        </w:rPr>
        <w:t>详见附件：详细评审--质量保障措施及方案.docx</w:t>
      </w:r>
    </w:p>
    <w:p>
      <w:pPr>
        <w:pStyle w:val="null3"/>
        <w:ind w:firstLine="960"/>
      </w:pPr>
      <w:r>
        <w:rPr>
          <w:rFonts w:ascii="仿宋_GB2312" w:hAnsi="仿宋_GB2312" w:cs="仿宋_GB2312" w:eastAsia="仿宋_GB2312"/>
        </w:rPr>
        <w:t>详见附件：详细评审--应急措施.docx</w:t>
      </w:r>
    </w:p>
    <w:p>
      <w:pPr>
        <w:pStyle w:val="null3"/>
        <w:ind w:firstLine="960"/>
      </w:pPr>
      <w:r>
        <w:rPr>
          <w:rFonts w:ascii="仿宋_GB2312" w:hAnsi="仿宋_GB2312" w:cs="仿宋_GB2312" w:eastAsia="仿宋_GB2312"/>
        </w:rPr>
        <w:t>详见附件：详细评审--项目团队.docx</w:t>
      </w:r>
    </w:p>
    <w:p>
      <w:pPr>
        <w:pStyle w:val="null3"/>
        <w:ind w:firstLine="960"/>
      </w:pPr>
      <w:r>
        <w:rPr>
          <w:rFonts w:ascii="仿宋_GB2312" w:hAnsi="仿宋_GB2312" w:cs="仿宋_GB2312" w:eastAsia="仿宋_GB2312"/>
        </w:rPr>
        <w:t>详见附件：详细评审--保密方案.docx</w:t>
      </w:r>
    </w:p>
    <w:p>
      <w:pPr>
        <w:pStyle w:val="null3"/>
        <w:ind w:firstLine="960"/>
      </w:pPr>
      <w:r>
        <w:rPr>
          <w:rFonts w:ascii="仿宋_GB2312" w:hAnsi="仿宋_GB2312" w:cs="仿宋_GB2312" w:eastAsia="仿宋_GB2312"/>
        </w:rPr>
        <w:t>详见附件：详细评审--服务承诺.docx</w:t>
      </w:r>
    </w:p>
    <w:p>
      <w:pPr>
        <w:pStyle w:val="null3"/>
        <w:ind w:firstLine="960"/>
      </w:pPr>
      <w:r>
        <w:rPr>
          <w:rFonts w:ascii="仿宋_GB2312" w:hAnsi="仿宋_GB2312" w:cs="仿宋_GB2312" w:eastAsia="仿宋_GB2312"/>
        </w:rPr>
        <w:t>详见附件：详细评审--企业资质.docx</w:t>
      </w:r>
    </w:p>
    <w:p>
      <w:pPr>
        <w:pStyle w:val="null3"/>
        <w:ind w:firstLine="960"/>
      </w:pPr>
      <w:r>
        <w:rPr>
          <w:rFonts w:ascii="仿宋_GB2312" w:hAnsi="仿宋_GB2312" w:cs="仿宋_GB2312" w:eastAsia="仿宋_GB2312"/>
        </w:rPr>
        <w:t>详见附件：详细评审--业绩.docx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