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版本号：LZBE2026-21320260331001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中心机电系统配件采购项目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LZBE2026-213</w:t>
      </w:r>
      <w:r>
        <w:br/>
      </w:r>
      <w:r>
        <w:br/>
      </w:r>
      <w:r>
        <w:br/>
      </w:r>
    </w:p>
    <w:p>
      <w:pPr>
        <w:pStyle w:val="null3"/>
        <w:jc w:val="center"/>
        <w:outlineLvl w:val="2"/>
      </w:pPr>
      <w:r>
        <w:rPr>
          <w:rFonts w:ascii="仿宋_GB2312" w:hAnsi="仿宋_GB2312" w:cs="仿宋_GB2312" w:eastAsia="仿宋_GB2312"/>
          <w:sz w:val="28"/>
          <w:b/>
        </w:rPr>
        <w:t>陕西省高速公路收费中心</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陕西省高速公路收费中心</w:t>
      </w:r>
      <w:r>
        <w:rPr>
          <w:rFonts w:ascii="仿宋_GB2312" w:hAnsi="仿宋_GB2312" w:cs="仿宋_GB2312" w:eastAsia="仿宋_GB2312"/>
        </w:rPr>
        <w:t>委托，拟对</w:t>
      </w:r>
      <w:r>
        <w:rPr>
          <w:rFonts w:ascii="仿宋_GB2312" w:hAnsi="仿宋_GB2312" w:cs="仿宋_GB2312" w:eastAsia="仿宋_GB2312"/>
        </w:rPr>
        <w:t>中心机电系统配件采购项目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LZBE2026-213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中心机电系统配件采购项目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中心机电系统配件采购项目,主要是为收费、通信相关硬件的增加、维修、更换提供相应的支撑，用于保障联网收费、监控业务的正常开展，具体内容详见招标文件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1、具有独立承担民事责任能力的法人、其他组织或自然人：法人或者其他组织提供营业执照等证明文件，自然人提供身份证件，投标人需在项目电子化交易系统中按要求上传相应证明文件并进行电子签章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投标人提供在本项目投标文件递交截止时间前十二个月内任意一个月的税收缴纳凭证及社会保险缴纳的凭证。依法免税或不需要缴纳社会保障资金的投标人，应提供相应文件证明其依法免税或不需要缴纳社会保障资金，投标人需在项目电子化交易系统中按要求上传相应证明文件</w:t>
      </w:r>
    </w:p>
    <w:p>
      <w:pPr>
        <w:pStyle w:val="null3"/>
      </w:pPr>
      <w:r>
        <w:rPr>
          <w:rFonts w:ascii="仿宋_GB2312" w:hAnsi="仿宋_GB2312" w:cs="仿宋_GB2312" w:eastAsia="仿宋_GB2312"/>
        </w:rPr>
        <w:t>3、财务状况报告：投标人提供2024或2025年度经审计的财务审计报告（事业法人可提供部门决算报告）；或投标人基本账户银行出具的资信证明；或提供专业担保机构出具的投标担保函，投标人需在项目电子化交易系统中按要求上传相应证明文件</w:t>
      </w:r>
    </w:p>
    <w:p>
      <w:pPr>
        <w:pStyle w:val="null3"/>
      </w:pPr>
      <w:r>
        <w:rPr>
          <w:rFonts w:ascii="仿宋_GB2312" w:hAnsi="仿宋_GB2312" w:cs="仿宋_GB2312" w:eastAsia="仿宋_GB2312"/>
        </w:rPr>
        <w:t>4、参加本次政府采购活动前3年内在经营活动中没有重大违法记录的书面声明：投标人需提供参加本次政府采购活动前3年内在经营活动中没有重大违法记录的书面声明并进行电子签章。</w:t>
      </w:r>
    </w:p>
    <w:p>
      <w:pPr>
        <w:pStyle w:val="null3"/>
      </w:pPr>
      <w:r>
        <w:rPr>
          <w:rFonts w:ascii="仿宋_GB2312" w:hAnsi="仿宋_GB2312" w:cs="仿宋_GB2312" w:eastAsia="仿宋_GB2312"/>
        </w:rPr>
        <w:t>5、具有履行合同所必需的设备和专业技术能力书面声明函：投标人需提供具有履行合同所必需的设备和专业技术能力书面声明函并进行电子签章。</w:t>
      </w:r>
    </w:p>
    <w:p>
      <w:pPr>
        <w:pStyle w:val="null3"/>
      </w:pPr>
      <w:r>
        <w:rPr>
          <w:rFonts w:ascii="仿宋_GB2312" w:hAnsi="仿宋_GB2312" w:cs="仿宋_GB2312" w:eastAsia="仿宋_GB2312"/>
        </w:rPr>
        <w:t>6、信用状况：不得为“信用中国”网站（www.creditchina.gov.cn）中列入失信被执行人和重大税收违法失信主体的投标人，不得为中国政府采购网（www.ccgp.gov.cn）政府采购严重违法失信行为记录名单中被财政部门禁止参加政府采购活动的投标人；以开标后的网站查询记录为准</w:t>
      </w:r>
    </w:p>
    <w:p>
      <w:pPr>
        <w:pStyle w:val="null3"/>
      </w:pPr>
      <w:r>
        <w:rPr>
          <w:rFonts w:ascii="仿宋_GB2312" w:hAnsi="仿宋_GB2312" w:cs="仿宋_GB2312" w:eastAsia="仿宋_GB2312"/>
        </w:rPr>
        <w:t>7、法定代表人授权书：法定代表人授权书及被授权人身份证明。（法定代表人直接投标 只须提供其身份证明）</w:t>
      </w:r>
    </w:p>
    <w:p>
      <w:pPr>
        <w:pStyle w:val="null3"/>
      </w:pPr>
      <w:r>
        <w:rPr>
          <w:rFonts w:ascii="仿宋_GB2312" w:hAnsi="仿宋_GB2312" w:cs="仿宋_GB2312" w:eastAsia="仿宋_GB2312"/>
        </w:rPr>
        <w:t>8、控股管理关系：提供直接控股和管理关系清单。若与其他投标人存在单位负责人为同一人或者存在直接控股、管理关系的，则投标无效。</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陕西省高速公路收费中心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029-86531251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陕西省西安市高新区太白南路181号A座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吴岳、陈钊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029-88228899-652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采购包1保证金金额：16,600.00元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开户名称：龙寰项目管理咨询有限公司</w:t>
            </w:r>
          </w:p>
          <w:p>
            <w:pPr>
              <w:pStyle w:val="null3"/>
            </w:pPr>
            <w:r>
              <w:rPr>
                <w:rFonts w:ascii="仿宋_GB2312" w:hAnsi="仿宋_GB2312" w:cs="仿宋_GB2312" w:eastAsia="仿宋_GB2312"/>
              </w:rPr>
              <w:t>开户银行：平安银行西安高新路支行</w:t>
            </w:r>
          </w:p>
          <w:p>
            <w:pPr>
              <w:pStyle w:val="null3"/>
            </w:pPr>
            <w:r>
              <w:rPr>
                <w:rFonts w:ascii="仿宋_GB2312" w:hAnsi="仿宋_GB2312" w:cs="仿宋_GB2312" w:eastAsia="仿宋_GB2312"/>
              </w:rPr>
              <w:t>银行账号：30201278018300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应依据中标金额向采购代理机构交纳中标服务费，交费金额参照国家计委颁布的《招标代理服务收费管理暂行办法》（计价格[2002]1980号）及发改办价格[2003]857号文件的规定标准下浮12%收取。本项目代理服务费按货物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陕西省高速公路收费中心</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陕西省高速公路收费中心</w:t>
      </w:r>
      <w:r>
        <w:rPr>
          <w:rFonts w:ascii="仿宋_GB2312" w:hAnsi="仿宋_GB2312" w:cs="仿宋_GB2312" w:eastAsia="仿宋_GB2312"/>
        </w:rPr>
        <w:t>负责解释。除上述招标文件内容，其他内容由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陕西省高速公路收费中心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联系人：吴岳、陈钊</w:t>
      </w:r>
    </w:p>
    <w:p>
      <w:pPr>
        <w:pStyle w:val="null3"/>
      </w:pPr>
      <w:r>
        <w:rPr>
          <w:rFonts w:ascii="仿宋_GB2312" w:hAnsi="仿宋_GB2312" w:cs="仿宋_GB2312" w:eastAsia="仿宋_GB2312"/>
        </w:rPr>
        <w:t>联系电话：029-88228899-652</w:t>
      </w:r>
    </w:p>
    <w:p>
      <w:pPr>
        <w:pStyle w:val="null3"/>
      </w:pPr>
      <w:r>
        <w:rPr>
          <w:rFonts w:ascii="仿宋_GB2312" w:hAnsi="仿宋_GB2312" w:cs="仿宋_GB2312" w:eastAsia="仿宋_GB2312"/>
        </w:rPr>
        <w:t>地址：陕西省西安市高新区太白南路181号A座</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中心机电系统配件采购项目,主要是为收费、通信相关硬件的增加、维修、更换提供相应的支撑，用于保障联网收费、监控业务的正常开展，具体内容详见招标文件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830,000.00</w:t>
      </w:r>
    </w:p>
    <w:p>
      <w:pPr>
        <w:pStyle w:val="null3"/>
      </w:pPr>
      <w:r>
        <w:rPr>
          <w:rFonts w:ascii="仿宋_GB2312" w:hAnsi="仿宋_GB2312" w:cs="仿宋_GB2312" w:eastAsia="仿宋_GB2312"/>
        </w:rPr>
        <w:t>采购包最高限价（元）: 830,000.00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中心机电系统配件采购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830,000.00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标的名称：中心机电系统配件采购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rPr>
              <w:t>（一）主要参数要求</w:t>
            </w:r>
          </w:p>
          <w:p>
            <w:pPr>
              <w:pStyle w:val="null3"/>
            </w:pPr>
            <w:r>
              <w:rPr>
                <w:rFonts w:ascii="仿宋_GB2312" w:hAnsi="仿宋_GB2312" w:cs="仿宋_GB2312" w:eastAsia="仿宋_GB2312"/>
                <w:sz w:val="22"/>
              </w:rPr>
              <w:t>本次采购须符合本国产品标准，设备名称及技术参数、数量具体如下：</w:t>
            </w:r>
          </w:p>
          <w:tbl>
            <w:tblPr>
              <w:tblBorders>
                <w:top w:val="none" w:color="000000" w:sz="4"/>
                <w:left w:val="none" w:color="000000" w:sz="4"/>
                <w:bottom w:val="none" w:color="000000" w:sz="4"/>
                <w:right w:val="none" w:color="000000" w:sz="4"/>
                <w:insideH w:val="none"/>
                <w:insideV w:val="none"/>
              </w:tblBorders>
            </w:tblPr>
            <w:tblGrid>
              <w:gridCol w:w="391"/>
              <w:gridCol w:w="1892"/>
              <w:gridCol w:w="274"/>
              <w:gridCol w:w="-6"/>
            </w:tblGrid>
            <w:tr>
              <w:tc>
                <w:tcPr>
                  <w:tcW w:type="dxa" w:w="39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采购内容</w:t>
                  </w:r>
                </w:p>
              </w:tc>
              <w:tc>
                <w:tcPr>
                  <w:tcW w:type="dxa" w:w="189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参数要求</w:t>
                  </w:r>
                </w:p>
              </w:tc>
              <w:tc>
                <w:tcPr>
                  <w:tcW w:type="dxa" w:w="27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数量</w:t>
                  </w:r>
                </w:p>
              </w:tc>
              <w:tc>
                <w:tcPr>
                  <w:tcW w:type="dxa" w:w="-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备注</w:t>
                  </w:r>
                </w:p>
              </w:tc>
            </w:tr>
            <w:tr>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rPr>
                    <w:t>光模块</w:t>
                  </w:r>
                </w:p>
              </w:tc>
              <w:tc>
                <w:tcPr>
                  <w:tcW w:type="dxa" w:w="1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rPr>
                    <w:t>SFP+万兆多模模块，波长850nm，传输距离300m，LC接口，适配现有设备</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p>
              </w:tc>
            </w:tr>
            <w:tr>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rPr>
                    <w:t>电模块</w:t>
                  </w:r>
                </w:p>
              </w:tc>
              <w:tc>
                <w:tcPr>
                  <w:tcW w:type="dxa" w:w="1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rPr>
                    <w:t>SFP千兆电口模块，RJ45接口，传输距离100m，适配现有设备</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p>
              </w:tc>
            </w:tr>
            <w:tr>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rPr>
                    <w:t>光纤</w:t>
                  </w:r>
                </w:p>
              </w:tc>
              <w:tc>
                <w:tcPr>
                  <w:tcW w:type="dxa" w:w="1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rPr>
                    <w:t>MPO-MPO连接线，12芯多模OM3，40G速率，长度20米，B极性</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p>
              </w:tc>
            </w:tr>
            <w:tr>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rPr>
                    <w:t>网线</w:t>
                  </w:r>
                </w:p>
              </w:tc>
              <w:tc>
                <w:tcPr>
                  <w:tcW w:type="dxa" w:w="1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rPr>
                    <w:t>超六类</w:t>
                  </w:r>
                  <w:r>
                    <w:rPr>
                      <w:rFonts w:ascii="仿宋_GB2312" w:hAnsi="仿宋_GB2312" w:cs="仿宋_GB2312" w:eastAsia="仿宋_GB2312"/>
                      <w:sz w:val="22"/>
                    </w:rPr>
                    <w:t>(Cat6A) 成品网线，屏蔽/非屏蔽，支持1000M/2500M速率，长度15米</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p>
              </w:tc>
            </w:tr>
            <w:tr>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rPr>
                    <w:t>网线</w:t>
                  </w:r>
                </w:p>
              </w:tc>
              <w:tc>
                <w:tcPr>
                  <w:tcW w:type="dxa" w:w="1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rPr>
                    <w:t>超六类</w:t>
                  </w:r>
                  <w:r>
                    <w:rPr>
                      <w:rFonts w:ascii="仿宋_GB2312" w:hAnsi="仿宋_GB2312" w:cs="仿宋_GB2312" w:eastAsia="仿宋_GB2312"/>
                      <w:sz w:val="22"/>
                    </w:rPr>
                    <w:t>(Cat6A) 成品网线，屏蔽/非屏蔽，支持1000M/2500M速率，长度20米</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p>
              </w:tc>
            </w:tr>
            <w:tr>
              <w:tc>
                <w:tcPr>
                  <w:tcW w:type="dxa" w:w="391"/>
                  <w:vMerge w:val="restart"/>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rPr>
                    <w:t>服务器硬盘</w:t>
                  </w:r>
                </w:p>
              </w:tc>
              <w:tc>
                <w:tcPr>
                  <w:tcW w:type="dxa" w:w="1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rPr>
                    <w:t>M.2接口 （NVMe/SATA)，480GB/512GB SSD，企业级/高耐久读写型</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6"/>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rPr>
                    <w:t>提供一年原厂质保</w:t>
                  </w:r>
                </w:p>
              </w:tc>
            </w:tr>
            <w:tr>
              <w:tc>
                <w:tcPr>
                  <w:tcW w:type="dxa" w:w="391"/>
                  <w:vMerge/>
                  <w:tcBorders>
                    <w:top w:val="none" w:color="000000" w:sz="4"/>
                    <w:left w:val="single" w:color="000000" w:sz="4"/>
                    <w:bottom w:val="none" w:color="000000" w:sz="4"/>
                    <w:right w:val="single" w:color="000000" w:sz="4"/>
                  </w:tcBorders>
                </w:tcPr>
                <w:p/>
              </w:tc>
              <w:tc>
                <w:tcPr>
                  <w:tcW w:type="dxa" w:w="1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rPr>
                    <w:t>SATA接口，2.5寸，1TB SSD，企业级标准，适配主流服务器</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6"/>
                  <w:vMerge/>
                  <w:tcBorders>
                    <w:top w:val="none" w:color="000000" w:sz="4"/>
                    <w:left w:val="none" w:color="000000" w:sz="4"/>
                    <w:bottom w:val="none" w:color="000000" w:sz="4"/>
                    <w:right w:val="single" w:color="000000" w:sz="4"/>
                  </w:tcBorders>
                </w:tcPr>
                <w:p/>
              </w:tc>
            </w:tr>
            <w:tr>
              <w:tc>
                <w:tcPr>
                  <w:tcW w:type="dxa" w:w="391"/>
                  <w:vMerge/>
                  <w:tcBorders>
                    <w:top w:val="none" w:color="000000" w:sz="4"/>
                    <w:left w:val="single" w:color="000000" w:sz="4"/>
                    <w:bottom w:val="none" w:color="000000" w:sz="4"/>
                    <w:right w:val="single" w:color="000000" w:sz="4"/>
                  </w:tcBorders>
                </w:tcPr>
                <w:p/>
              </w:tc>
              <w:tc>
                <w:tcPr>
                  <w:tcW w:type="dxa" w:w="1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rPr>
                    <w:t>12TB 7.2K RPM SAS 12Gb/s，3.5寸企业级硬盘，适配现有服务器</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6"/>
                  <w:vMerge/>
                  <w:tcBorders>
                    <w:top w:val="none" w:color="000000" w:sz="4"/>
                    <w:left w:val="none" w:color="000000" w:sz="4"/>
                    <w:bottom w:val="none" w:color="000000" w:sz="4"/>
                    <w:right w:val="single" w:color="000000" w:sz="4"/>
                  </w:tcBorders>
                </w:tcPr>
                <w:p/>
              </w:tc>
            </w:tr>
            <w:tr>
              <w:tc>
                <w:tcPr>
                  <w:tcW w:type="dxa" w:w="391"/>
                  <w:vMerge/>
                  <w:tcBorders>
                    <w:top w:val="none" w:color="000000" w:sz="4"/>
                    <w:left w:val="single" w:color="000000" w:sz="4"/>
                    <w:bottom w:val="none" w:color="000000" w:sz="4"/>
                    <w:right w:val="single" w:color="000000" w:sz="4"/>
                  </w:tcBorders>
                </w:tcPr>
                <w:p/>
              </w:tc>
              <w:tc>
                <w:tcPr>
                  <w:tcW w:type="dxa" w:w="1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rPr>
                    <w:t>4TB 7.2K RPM SATA 6Gb/s，3.5寸企业级硬盘，适配现有服务器</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6"/>
                  <w:vMerge/>
                  <w:tcBorders>
                    <w:top w:val="none" w:color="000000" w:sz="4"/>
                    <w:left w:val="none" w:color="000000" w:sz="4"/>
                    <w:bottom w:val="none" w:color="000000" w:sz="4"/>
                    <w:right w:val="single" w:color="000000" w:sz="4"/>
                  </w:tcBorders>
                </w:tcPr>
                <w:p/>
              </w:tc>
            </w:tr>
            <w:tr>
              <w:tc>
                <w:tcPr>
                  <w:tcW w:type="dxa" w:w="391"/>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rPr>
                    <w:t>DLP大屏幕配件</w:t>
                  </w:r>
                </w:p>
              </w:tc>
              <w:tc>
                <w:tcPr>
                  <w:tcW w:type="dxa" w:w="1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rPr>
                    <w:t>冗余电源驱动模组，适配</w:t>
                  </w:r>
                  <w:r>
                    <w:rPr>
                      <w:rFonts w:ascii="仿宋_GB2312" w:hAnsi="仿宋_GB2312" w:cs="仿宋_GB2312" w:eastAsia="仿宋_GB2312"/>
                      <w:sz w:val="22"/>
                    </w:rPr>
                    <w:t>现有大屏</w:t>
                  </w:r>
                  <w:r>
                    <w:rPr>
                      <w:rFonts w:ascii="仿宋_GB2312" w:hAnsi="仿宋_GB2312" w:cs="仿宋_GB2312" w:eastAsia="仿宋_GB2312"/>
                      <w:sz w:val="22"/>
                    </w:rPr>
                    <w:t>机芯</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p>
              </w:tc>
            </w:tr>
            <w:tr>
              <w:tc>
                <w:tcPr>
                  <w:tcW w:type="dxa" w:w="391"/>
                  <w:vMerge/>
                  <w:tcBorders>
                    <w:top w:val="none" w:color="000000" w:sz="4"/>
                    <w:left w:val="single" w:color="000000" w:sz="4"/>
                    <w:bottom w:val="single" w:color="000000" w:sz="4"/>
                    <w:right w:val="single" w:color="000000" w:sz="4"/>
                  </w:tcBorders>
                </w:tcPr>
                <w:p/>
              </w:tc>
              <w:tc>
                <w:tcPr>
                  <w:tcW w:type="dxa" w:w="1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rPr>
                    <w:t>LED红绿蓝1X3光源组，适配</w:t>
                  </w:r>
                  <w:r>
                    <w:rPr>
                      <w:rFonts w:ascii="仿宋_GB2312" w:hAnsi="仿宋_GB2312" w:cs="仿宋_GB2312" w:eastAsia="仿宋_GB2312"/>
                      <w:sz w:val="22"/>
                    </w:rPr>
                    <w:t>现有大屏</w:t>
                  </w:r>
                  <w:r>
                    <w:rPr>
                      <w:rFonts w:ascii="仿宋_GB2312" w:hAnsi="仿宋_GB2312" w:cs="仿宋_GB2312" w:eastAsia="仿宋_GB2312"/>
                      <w:sz w:val="22"/>
                    </w:rPr>
                    <w:t>机芯</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p>
              </w:tc>
            </w:tr>
            <w:tr>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rPr>
                    <w:t>计算机终端</w:t>
                  </w:r>
                </w:p>
              </w:tc>
              <w:tc>
                <w:tcPr>
                  <w:tcW w:type="dxa" w:w="1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rPr>
                    <w:t>国产</w:t>
                  </w:r>
                  <w:r>
                    <w:rPr>
                      <w:rFonts w:ascii="仿宋_GB2312" w:hAnsi="仿宋_GB2312" w:cs="仿宋_GB2312" w:eastAsia="仿宋_GB2312"/>
                      <w:sz w:val="22"/>
                    </w:rPr>
                    <w:t>处理器（</w:t>
                  </w:r>
                  <w:r>
                    <w:rPr>
                      <w:rFonts w:ascii="仿宋_GB2312" w:hAnsi="仿宋_GB2312" w:cs="仿宋_GB2312" w:eastAsia="仿宋_GB2312"/>
                      <w:sz w:val="22"/>
                    </w:rPr>
                    <w:t>CPU）：16核32线程，主频不低于3.0GHz</w:t>
                  </w:r>
                </w:p>
                <w:p>
                  <w:pPr>
                    <w:pStyle w:val="null3"/>
                  </w:pPr>
                  <w:r>
                    <w:rPr>
                      <w:rFonts w:ascii="仿宋_GB2312" w:hAnsi="仿宋_GB2312" w:cs="仿宋_GB2312" w:eastAsia="仿宋_GB2312"/>
                      <w:sz w:val="22"/>
                    </w:rPr>
                    <w:t>内存：不低于</w:t>
                  </w:r>
                  <w:r>
                    <w:rPr>
                      <w:rFonts w:ascii="仿宋_GB2312" w:hAnsi="仿宋_GB2312" w:cs="仿宋_GB2312" w:eastAsia="仿宋_GB2312"/>
                      <w:sz w:val="22"/>
                    </w:rPr>
                    <w:t>32GB</w:t>
                  </w:r>
                </w:p>
                <w:p>
                  <w:pPr>
                    <w:pStyle w:val="null3"/>
                  </w:pPr>
                  <w:r>
                    <w:rPr>
                      <w:rFonts w:ascii="仿宋_GB2312" w:hAnsi="仿宋_GB2312" w:cs="仿宋_GB2312" w:eastAsia="仿宋_GB2312"/>
                      <w:sz w:val="22"/>
                    </w:rPr>
                    <w:t>存储：系统盘：</w:t>
                  </w:r>
                  <w:r>
                    <w:rPr>
                      <w:rFonts w:ascii="仿宋_GB2312" w:hAnsi="仿宋_GB2312" w:cs="仿宋_GB2312" w:eastAsia="仿宋_GB2312"/>
                      <w:sz w:val="22"/>
                    </w:rPr>
                    <w:t>512GB SSD ，数据盘： 4TB HDD</w:t>
                  </w:r>
                </w:p>
                <w:p>
                  <w:pPr>
                    <w:pStyle w:val="null3"/>
                  </w:pPr>
                  <w:r>
                    <w:rPr>
                      <w:rFonts w:ascii="仿宋_GB2312" w:hAnsi="仿宋_GB2312" w:cs="仿宋_GB2312" w:eastAsia="仿宋_GB2312"/>
                      <w:sz w:val="22"/>
                    </w:rPr>
                    <w:t>显卡（</w:t>
                  </w:r>
                  <w:r>
                    <w:rPr>
                      <w:rFonts w:ascii="仿宋_GB2312" w:hAnsi="仿宋_GB2312" w:cs="仿宋_GB2312" w:eastAsia="仿宋_GB2312"/>
                      <w:sz w:val="22"/>
                    </w:rPr>
                    <w:t>GPU）：显存不低于8GB</w:t>
                  </w:r>
                </w:p>
                <w:p>
                  <w:pPr>
                    <w:pStyle w:val="null3"/>
                  </w:pPr>
                  <w:r>
                    <w:rPr>
                      <w:rFonts w:ascii="仿宋_GB2312" w:hAnsi="仿宋_GB2312" w:cs="仿宋_GB2312" w:eastAsia="仿宋_GB2312"/>
                      <w:sz w:val="22"/>
                    </w:rPr>
                    <w:t>预装操作系统：国产桌面操作系统。</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rPr>
                    <w:t>提供三年原厂质保</w:t>
                  </w:r>
                </w:p>
              </w:tc>
            </w:tr>
            <w:tr>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rPr>
                    <w:t>OTN通信系统电池</w:t>
                  </w:r>
                </w:p>
              </w:tc>
              <w:tc>
                <w:tcPr>
                  <w:tcW w:type="dxa" w:w="1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rPr>
                    <w:t>2V400AH铅酸蓄电池共48块；50mm2电池线缆4根，每根50米；电池架2套。</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rPr>
                    <w:t>提供三年原厂质保</w:t>
                  </w:r>
                </w:p>
              </w:tc>
            </w:tr>
            <w:tr>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rPr>
                    <w:t>沙箱安全检测设备</w:t>
                  </w:r>
                  <w:r>
                    <w:rPr>
                      <w:rFonts w:ascii="仿宋_GB2312" w:hAnsi="仿宋_GB2312" w:cs="仿宋_GB2312" w:eastAsia="仿宋_GB2312"/>
                      <w:sz w:val="22"/>
                      <w:b/>
                    </w:rPr>
                    <w:t>（</w:t>
                  </w:r>
                  <w:r>
                    <w:rPr>
                      <w:rFonts w:ascii="仿宋_GB2312" w:hAnsi="仿宋_GB2312" w:cs="仿宋_GB2312" w:eastAsia="仿宋_GB2312"/>
                      <w:sz w:val="22"/>
                      <w:b/>
                    </w:rPr>
                    <w:t>核心产品</w:t>
                  </w:r>
                  <w:r>
                    <w:rPr>
                      <w:rFonts w:ascii="仿宋_GB2312" w:hAnsi="仿宋_GB2312" w:cs="仿宋_GB2312" w:eastAsia="仿宋_GB2312"/>
                      <w:sz w:val="22"/>
                      <w:b/>
                    </w:rPr>
                    <w:t>）</w:t>
                  </w:r>
                </w:p>
              </w:tc>
              <w:tc>
                <w:tcPr>
                  <w:tcW w:type="dxa" w:w="1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rPr>
                    <w:t>国产化</w:t>
                  </w:r>
                  <w:r>
                    <w:rPr>
                      <w:rFonts w:ascii="仿宋_GB2312" w:hAnsi="仿宋_GB2312" w:cs="仿宋_GB2312" w:eastAsia="仿宋_GB2312"/>
                      <w:sz w:val="22"/>
                    </w:rPr>
                    <w:t>CPU、操作系统，极速模式≥150000个/天，标准模式≥10000个/天；内存≥384GB，硬盘≥1.92TBx2；≥2个千兆电口、2个万兆光口，提供威胁情报、多引擎、动静态行为特征、网络行为和流量检测等多维检测能力。</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rPr>
                    <w:t>提供五年原厂质保</w:t>
                  </w:r>
                </w:p>
              </w:tc>
            </w:tr>
            <w:tr>
              <w:tc>
                <w:tcPr>
                  <w:tcW w:type="dxa" w:w="39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rPr>
                    <w:t>日志审计设备</w:t>
                  </w:r>
                </w:p>
              </w:tc>
              <w:tc>
                <w:tcPr>
                  <w:tcW w:type="dxa" w:w="1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rPr>
                    <w:t>国产化</w:t>
                  </w:r>
                  <w:r>
                    <w:rPr>
                      <w:rFonts w:ascii="仿宋_GB2312" w:hAnsi="仿宋_GB2312" w:cs="仿宋_GB2312" w:eastAsia="仿宋_GB2312"/>
                      <w:sz w:val="22"/>
                    </w:rPr>
                    <w:t>CPU及操作系统；性能：日志源授权≥500，处理能力≥2500EPS；配置：内存≥16G，硬盘≥4T，冗余电源；接口：≥6千兆电口、2万兆光口。</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rPr>
                    <w:t>提供五年原厂质保</w:t>
                  </w:r>
                </w:p>
              </w:tc>
            </w:tr>
            <w:tr>
              <w:tc>
                <w:tcPr>
                  <w:tcW w:type="dxa" w:w="391"/>
                  <w:vMerge w:val="restart"/>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rPr>
                    <w:t>大屏控制器配件</w:t>
                  </w:r>
                </w:p>
              </w:tc>
              <w:tc>
                <w:tcPr>
                  <w:tcW w:type="dxa" w:w="1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rPr>
                    <w:t>视频</w:t>
                  </w:r>
                  <w:r>
                    <w:rPr>
                      <w:rFonts w:ascii="仿宋_GB2312" w:hAnsi="仿宋_GB2312" w:cs="仿宋_GB2312" w:eastAsia="仿宋_GB2312"/>
                      <w:sz w:val="22"/>
                    </w:rPr>
                    <w:t>H_4路HDMI输入卡，适配现有视频拼接服务器。</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6"/>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rPr>
                    <w:t>提供一年原厂质保</w:t>
                  </w:r>
                </w:p>
              </w:tc>
            </w:tr>
            <w:tr>
              <w:tc>
                <w:tcPr>
                  <w:tcW w:type="dxa" w:w="391"/>
                  <w:vMerge/>
                  <w:tcBorders>
                    <w:top w:val="none" w:color="000000" w:sz="4"/>
                    <w:left w:val="single" w:color="000000" w:sz="4"/>
                    <w:bottom w:val="none" w:color="000000" w:sz="4"/>
                    <w:right w:val="single" w:color="000000" w:sz="4"/>
                  </w:tcBorders>
                </w:tcPr>
                <w:p/>
              </w:tc>
              <w:tc>
                <w:tcPr>
                  <w:tcW w:type="dxa" w:w="18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2"/>
                    </w:rPr>
                    <w:t>视频</w:t>
                  </w:r>
                  <w:r>
                    <w:rPr>
                      <w:rFonts w:ascii="仿宋_GB2312" w:hAnsi="仿宋_GB2312" w:cs="仿宋_GB2312" w:eastAsia="仿宋_GB2312"/>
                      <w:sz w:val="22"/>
                    </w:rPr>
                    <w:t>H_4路HDMI输出卡，适配现有视频拼接服务器。</w:t>
                  </w:r>
                </w:p>
              </w:tc>
              <w:tc>
                <w:tcPr>
                  <w:tcW w:type="dxa" w:w="2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6"/>
                  <w:vMerge/>
                  <w:tcBorders>
                    <w:top w:val="none" w:color="000000" w:sz="4"/>
                    <w:left w:val="none" w:color="000000" w:sz="4"/>
                    <w:bottom w:val="none" w:color="000000" w:sz="4"/>
                    <w:right w:val="single" w:color="000000" w:sz="4"/>
                  </w:tcBorders>
                </w:tc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服务要求：</w:t>
            </w:r>
            <w:r>
              <w:br/>
            </w:r>
            <w:r>
              <w:rPr>
                <w:rFonts w:ascii="仿宋_GB2312" w:hAnsi="仿宋_GB2312" w:cs="仿宋_GB2312" w:eastAsia="仿宋_GB2312"/>
              </w:rPr>
              <w:t xml:space="preserve"> 1、质量要求。投标人提供的货物须国家及相关部门的相应产业标准，所有设备必须为原厂产品。</w:t>
            </w:r>
            <w:r>
              <w:br/>
            </w:r>
            <w:r>
              <w:rPr>
                <w:rFonts w:ascii="仿宋_GB2312" w:hAnsi="仿宋_GB2312" w:cs="仿宋_GB2312" w:eastAsia="仿宋_GB2312"/>
              </w:rPr>
              <w:t xml:space="preserve"> 2、知识产权。投标人应保证在本项目中使用的任何产品和服务（包括部分使用），不会产生因第三方提出侵犯其专利权、商标权或其它知识产权而引起的法律和经济纠纷。</w:t>
            </w:r>
            <w:r>
              <w:br/>
            </w:r>
            <w:r>
              <w:rPr>
                <w:rFonts w:ascii="仿宋_GB2312" w:hAnsi="仿宋_GB2312" w:cs="仿宋_GB2312" w:eastAsia="仿宋_GB2312"/>
              </w:rPr>
              <w:t xml:space="preserve"> 3、供应链管理要求。投标人应严格落实网络安全和保密及人员管理要求，承担相应人员的网络安全和保密及人员管理责任，按要求签订协议和承诺书。投标人应强化货物供应的及时性，确保不发生货物的变更。</w:t>
            </w:r>
            <w:r>
              <w:br/>
            </w:r>
            <w:r>
              <w:rPr>
                <w:rFonts w:ascii="仿宋_GB2312" w:hAnsi="仿宋_GB2312" w:cs="仿宋_GB2312" w:eastAsia="仿宋_GB2312"/>
              </w:rPr>
              <w:t xml:space="preserve"> 4、合同签订。投标人应配合采购方在法定时间内完成合同的签订工作，签订地点由采购方指定。</w:t>
            </w:r>
            <w:r>
              <w:br/>
            </w:r>
            <w:r>
              <w:rPr>
                <w:rFonts w:ascii="仿宋_GB2312" w:hAnsi="仿宋_GB2312" w:cs="仿宋_GB2312" w:eastAsia="仿宋_GB2312"/>
              </w:rPr>
              <w:t xml:space="preserve"> 5、网络安全要求</w:t>
            </w:r>
            <w:r>
              <w:br/>
            </w:r>
            <w:r>
              <w:rPr>
                <w:rFonts w:ascii="仿宋_GB2312" w:hAnsi="仿宋_GB2312" w:cs="仿宋_GB2312" w:eastAsia="仿宋_GB2312"/>
              </w:rPr>
              <w:t xml:space="preserve"> 投标人所提供的产品应符合国家及行业相关网络安全技术标准与规范要求，能够有效保障设备运行安全与数据安全，按照要求签署网络安全责任协议。</w:t>
            </w:r>
            <w:r>
              <w:br/>
            </w:r>
            <w:r>
              <w:rPr>
                <w:rFonts w:ascii="仿宋_GB2312" w:hAnsi="仿宋_GB2312" w:cs="仿宋_GB2312" w:eastAsia="仿宋_GB2312"/>
              </w:rPr>
              <w:t xml:space="preserve"> 6、资产管理要求。投标人应整理本项目实施过程中所涉及的相关资产，包括但不限于产品合格证、资产台账、网络拓扑等资产，并及时向采购人提交纸质资料和电子资料。</w:t>
            </w:r>
            <w:r>
              <w:br/>
            </w:r>
            <w:r>
              <w:rPr>
                <w:rFonts w:ascii="仿宋_GB2312" w:hAnsi="仿宋_GB2312" w:cs="仿宋_GB2312" w:eastAsia="仿宋_GB2312"/>
              </w:rPr>
              <w:t xml:space="preserve"> 7、质量保证期要求</w:t>
            </w:r>
            <w:r>
              <w:br/>
            </w:r>
            <w:r>
              <w:rPr>
                <w:rFonts w:ascii="仿宋_GB2312" w:hAnsi="仿宋_GB2312" w:cs="仿宋_GB2312" w:eastAsia="仿宋_GB2312"/>
              </w:rPr>
              <w:t xml:space="preserve"> 质量保证期从履约验收合格之日（含）起计算。</w:t>
            </w:r>
            <w:r>
              <w:br/>
            </w:r>
            <w:r>
              <w:rPr>
                <w:rFonts w:ascii="仿宋_GB2312" w:hAnsi="仿宋_GB2312" w:cs="仿宋_GB2312" w:eastAsia="仿宋_GB2312"/>
              </w:rPr>
              <w:t xml:space="preserve"> 质量保证期服务方式要求采用7*24小时远程电话值守。</w:t>
            </w:r>
            <w:r>
              <w:br/>
            </w:r>
            <w:r>
              <w:rPr>
                <w:rFonts w:ascii="仿宋_GB2312" w:hAnsi="仿宋_GB2312" w:cs="仿宋_GB2312" w:eastAsia="仿宋_GB2312"/>
              </w:rPr>
              <w:t xml:space="preserve"> 质量保证期投标人须按约定提供相应年限原厂质保，其中硬盘须提供不返还服务。</w:t>
            </w:r>
            <w:r>
              <w:br/>
            </w:r>
            <w:r>
              <w:rPr>
                <w:rFonts w:ascii="仿宋_GB2312" w:hAnsi="仿宋_GB2312" w:cs="仿宋_GB2312" w:eastAsia="仿宋_GB2312"/>
              </w:rPr>
              <w:t xml:space="preserve"> 质量保证期投标人所提供的所有技术支持和服务费用以及上门维修、更换零部件费用由投标人提供，采购人不在另行支付。</w:t>
            </w:r>
            <w:r>
              <w:br/>
            </w:r>
            <w:r>
              <w:rPr>
                <w:rFonts w:ascii="仿宋_GB2312" w:hAnsi="仿宋_GB2312" w:cs="仿宋_GB2312" w:eastAsia="仿宋_GB2312"/>
              </w:rPr>
              <w:t xml:space="preserve"> 8、保密要求。投标人应对在项目实施及履行过程中所接触的采购人信息，包括但不限于知识产权、技术资料、内部管理及其他相关信息，负有保密义务。保密期限不受合同有效期的限制，在合同有效期结束后，投标人仍应承担保密义务。</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 1.中标人须在合同签订之日（含）起150个日历天内完成货物交付，并通过验收。 2.自合同签订之日（含）起，所需货物中标人需在30个日历天内运抵采购人指定地点，由采购人根据组织开箱检验。开箱检验通过仅表明设备表面符合约定，不视为对设备内在质量、技术性能的认可。 3.自开箱检验通过之日起（含），30个日历天内，中标人需完成相应设备上架部署安装，设备上架30个日历天且运行平稳后，中标人应于7个日历天内及时提出书面验收申请。</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陕西省高速公路收费中心指定地点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采购人收到全部货物并组织点收后（中标人须向采购人出具合法有效的发票，采购人进行支付结算。首次支付时中标人应开具全额发票）</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相关设备安装调整完毕后中标人提出验收申请，采购人组织验收并合格后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项目履约验收主体为采购人，验收工作流程为中标人提出验收申请之日起30个日历天内，由采购人组织验收工作。本项目为一次性验收，采购人严格按照招标文件、投标文件和合同约定内容进行履约验收。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服务器硬盘、大屏控制器配件：自验收合格之日起提供原厂质保一年；计算机终端、OTN通信系统电池：自验收合格之日起提供原厂质保三年；沙箱安全检测设备、日志审计设备：自验收合格之日起提供原厂质保五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1.中标人延迟交付货物的，应向采购人支付延迟违约金。延迟违约金的计算方法如下：每延迟一天向采购人偿付违约货款额3‰违约金，但违约金累计不超过违约货款额3%。超过10 天采购人有权解除合同，中标人承担因此给采购人造成的经济损失。 2.中标人提供的货物品种、型号、规格、质量达不到规定标准的，采购人有权拒收，供应商应在10日历天内更换符合要求的货物，供应商拒绝更换或更换后仍存在质量问题的，采购人有权解除合同并有权要求供应商按照合同总价款的20%向采购人支付违约金。 3.中标人未按合同要求提供服务或产品质量不能满足技术要求的，采购方有权要求供应商整改，供应商拒绝整改或整改后仍存在问题的，采购方有权解除合同，并有权要求供应商按照合同总价款的20%向采购方支付违约金。 4.上述2.3项情形累计发生3次及以上，采购方除按照上述标准扣除违约金外，有权单方面解除本合同。 5.因中标人原因，自合同签订之日起150日历天内未完成项目所有工作内容或未提交项目交付成果，供应商应向采购方支付合同总价款的20%违约金，采购方有权从合同支付费用中扣除。 6.上述违约金直接从未支付的合同金额中扣减，如合同剩余金额不足扣减违约金，供应商应在规定时限内向采购人支付违约金。 7.因中标人原因，导致合同无法按时签订的，视为对项目的自动放弃，采购方有权取消中标人的中标资格、并有权依据采购文件中的约定及相关法律规定，追究供应商的违约责任。 8.因中标人泄密或操作不当造成采购人利益损害，除一切后果与法律责任由中标人承担，采购人有权要求中标人赔偿经济损失。 9.中标人若违反本协议的任何一款，视为中标人违约；因中标人违约造成采购人损失的，由中标人承担全部的损失赔偿责任，包括但不限于直接经济损失及采购人因此开支的交通费、公证费、鉴定费、诉讼费、仲裁费、律师费、保全费、保全保险费等一切费用。</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一、采购项目需要落实的政府采购政策 1、《国务院办公厅关于建立政府强制采购节能产品制度的通知》（国办发〔2007〕51号）； 2、《财政部 司法部关于政府采购支持监狱企业发展有关问题的通知》（财库〔2014〕68号）； 3、《三部门联合发布关于促进残疾人就业政府采购政策的通知》（财库〔2017〕141号）； 4、《财政部 发展改革委 生态环境部 市场监管总局关于调整优化节能产品、环境标志产品政府采购执行机制的通知》（财库〔2019〕9号）； 5、《关于运用政府采购政策支持乡村产业振兴的通知》（财库〔2021〕19号）； 6、《政府采购促进中小企业发展管理办法》（财库〔2020〕46号）； 7、陕西省财政厅关于印发《陕西省中小企业政府采购信用融资办法》（陕财办采〔2018〕23号）； 8、《关于进一步加大政府采购支持中小企业力度的通知》（财库〔2022〕19号）； 9、《关于扩大政府采购支持绿色建材促进建筑品质提升政策实施范围的通知》（财库〔2022〕35号） 10、《国务院办公厅关于在政府采购中实施本国产品标准及相关政策的通知》（国办发〔2025〕34号） 二、采购文件中“采购项目需要落实的政府采购政策” 1、政府采购信用融资政策 政府采购信用融资是指银行业金融机构以政府采购诚信考核和信用审查为基础，凭借政府采购合同，按优于一般中小企业的贷款利率直接向申请贷款的供应商发放贷款的一种融资方式。融资金额未超过政府采购合同金额的，银行原则上不得要求供应商提供财产抵押或第三方担保或其他任何形式的担保条件。 依据《陕西省财政厅关于印发〈陕西省中小企业政府采购信用融资办法〉的通知》（陕财办采〔2018〕23号）、《陕西省财政厅关于加快推进我省中小企业政府采购信用融资工作的通知》（陕财办采[2020]15号），有融资需求的供应商可根据自身情况，在“陕西政府采购信用融资平台（含各市分平台）”查询并办理相关业务。 2、《国务院办公厅关于在政府采购中实施本国产品标准及相关政策的通知》（国办发〔2025〕34号） 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供应商对其提供的产品出具《关于符合本国产品标准的声明函》（以下简称《声明函》）或财政部会同有关部门规定的有关证明文件。 三、投标保证金退还：中标通知书发出之日起5个工作日内退还未中标人的投标保证金，自政府采购合同签订之日起5个工作日内退还中标人的投标保证金。</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投标人提供在本项目投标文件递交截止时间前十二个月内任意一个月的税收缴纳凭证及社会保险缴纳的凭证。依法免税或不需要缴纳社会保障资金的投标人，应提供相应文件证明其依法免税或不需要缴纳社会保障资金，投标人需在项目电子化交易系统中按要求上传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提供2024或2025年度经审计的财务审计报告（事业法人可提供部门决算报告）；或投标人基本账户银行出具的资信证明；或提供专业担保机构出具的投标担保函，投标人需在项目电子化交易系统中按要求上传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参加本次政府采购活动前3年内在经营活动中没有重大违法记录的书面声明</w:t>
            </w:r>
          </w:p>
        </w:tc>
        <w:tc>
          <w:tcPr>
            <w:tcW w:type="dxa" w:w="3322"/>
          </w:tcPr>
          <w:p>
            <w:pPr>
              <w:pStyle w:val="null3"/>
            </w:pPr>
            <w:r>
              <w:rPr>
                <w:rFonts w:ascii="仿宋_GB2312" w:hAnsi="仿宋_GB2312" w:cs="仿宋_GB2312" w:eastAsia="仿宋_GB2312"/>
              </w:rPr>
              <w:t>投标人需提供参加本次政府采购活动前3年内在经营活动中没有重大违法记录的书面声明并进行电子签章。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具有履行合同所必需的设备和专业技术能力书面声明函</w:t>
            </w:r>
          </w:p>
        </w:tc>
        <w:tc>
          <w:tcPr>
            <w:tcW w:type="dxa" w:w="3322"/>
          </w:tcPr>
          <w:p>
            <w:pPr>
              <w:pStyle w:val="null3"/>
            </w:pPr>
            <w:r>
              <w:rPr>
                <w:rFonts w:ascii="仿宋_GB2312" w:hAnsi="仿宋_GB2312" w:cs="仿宋_GB2312" w:eastAsia="仿宋_GB2312"/>
              </w:rPr>
              <w:t>投标人需提供具有履行合同所必需的设备和专业技术能力书面声明函并进行电子签章。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投标人，不得为中国政府采购网（www.ccgp.gov.cn）政府采购严重违法失信行为记录名单中被财政部门禁止参加政府采购活动的投标人；以开标后的网站查询记录为准</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 只须提供其身份证明）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（1）政府采购评审中出现下列情形之一的，评审委员会应当启动异常低价投标（响应）审查程序： ①.投标（响应）报价低于全部通过符合性审查投标人投标（响应）报价平均值50%的，即投标（响应）报价＜全部通过符合性审查投标人投标（响应）报价平均值×50%； ②.投标（响应）报价低于通过符合性审查的次低报价投标人投标（响应）报价50%的，即投标（响应）报价＜通过符合性审查的次低报价投标人投标（响应）报价×50%； ③.投标（响应）报价低于采购项目最高限价45%的，即投标（响应）报价＜采购项目最高限价×45%； ④.评审委员会基于专业判断，认为投标人报价过低，有可能影响产品质量或者不能诚信履约的其他情形。 相关法律法规对投标人报价有规定的，从其规定。 （2）评审委员会启动异常低价投标（响应）审查后，属于前述第1项至第4项情形的，应当要求相关投标人在评审现场合理的时间内对投标（响应）价格作出解释，提供项目具体成本测算等与报价合理性相关的书面说明及必要的证明材料，包括但不限于原材料成本、人工成本、制造费用等，给予相关投标人时间为30分钟。其中，属于第3项情形，投标人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投标人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投标人资格条件证明文件.docx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投标文件按招标文件要求签字、盖章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投标保证金交纳符合招标文件要求</w:t>
            </w:r>
          </w:p>
        </w:tc>
        <w:tc>
          <w:tcPr>
            <w:tcW w:type="dxa" w:w="1661"/>
          </w:tcPr>
          <w:p>
            <w:pPr>
              <w:pStyle w:val="null3"/>
            </w:pPr>
            <w:r>
              <w:rPr>
                <w:rFonts w:ascii="仿宋_GB2312" w:hAnsi="仿宋_GB2312" w:cs="仿宋_GB2312" w:eastAsia="仿宋_GB2312"/>
              </w:rPr>
              <w:t>投标人认为有必要说明的问题.docx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交货期符合招标文件要求</w:t>
            </w:r>
          </w:p>
        </w:tc>
        <w:tc>
          <w:tcPr>
            <w:tcW w:type="dxa" w:w="1661"/>
          </w:tcPr>
          <w:p>
            <w:pPr>
              <w:pStyle w:val="null3"/>
            </w:pPr>
            <w:r>
              <w:rPr>
                <w:rFonts w:ascii="仿宋_GB2312" w:hAnsi="仿宋_GB2312" w:cs="仿宋_GB2312" w:eastAsia="仿宋_GB2312"/>
              </w:rPr>
              <w:t>投标人认为有必要说明的问题.docx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质保期符合招标文件要求</w:t>
            </w:r>
          </w:p>
        </w:tc>
        <w:tc>
          <w:tcPr>
            <w:tcW w:type="dxa" w:w="1661"/>
          </w:tcPr>
          <w:p>
            <w:pPr>
              <w:pStyle w:val="null3"/>
            </w:pPr>
            <w:r>
              <w:rPr>
                <w:rFonts w:ascii="仿宋_GB2312" w:hAnsi="仿宋_GB2312" w:cs="仿宋_GB2312" w:eastAsia="仿宋_GB2312"/>
              </w:rPr>
              <w:t>投标人认为有必要说明的问题.docx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投标人认为有必要说明的问题.docx 开标一览表 产品技术参数表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所投产品属于《环境标志产品政府采购品目清单》范围内，且具有国家确定的认证机构出具的处于有效期之内的中国环境标志产品认证证书，每有一项得0.5分（提供复印件加并加盖公章）； 所投产品属于《节能产品政府采购目录清单》范围内(政府强制采购产品除外)，且具有国家确定的认证机构出具的处于有效期之内的中国节能产品认证证书，每有一项得0.5分（提供复印件加并加盖公章）； 投标人所投产品中每有一项产品同时为节能产品和环境标志产品的得1分（提供复印件加并加盖公章）； 以上认证证书不重复计分，最高得2分。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详细评审--节能环境标志产品.docx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投标人针对本项目有具体的实施方案。包括：整体规划、备货、进度计划、供货组织、人员配置、分工明细、配送保障等。 a.实施方案完整详细、步骤清晰、进度安排和人员配置合理、分工明确、配送有保障、可操作性及可行性强的得8分； b.实施方案基本完整、步骤基本清晰、进度安排和人员配置基本合理、分工基本明确、配送基本有保障、有基本的可操作性及可行性的得5分； c.实施方案不完整、实施步骤不清晰、进度安排和人员配置欠缺合理性、分工不明确、配送无有保障、无可操作性及可行性的得2分； d.未提供实施方案或实施方案脱离实际的不得分。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详细评审--实施方案.docx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选型符合使用需求，配置完整合理，其型号、技术参数清晰明确，根据投标产品的技术指标和性能对招标文件的响应程度计分。产品整体功能或技术参数完全满足招标文件要求计26分，响应技术指标和性能出现技术参数负偏离的，每项扣除1.5分，扣完为止。 注：技术参数偏离情况除偏离表响应外还须提供相应的参数指标证明文件不限于制造商出具的参数证明文件、产品彩页、功能截图、检测报告等证明文件，否则不计分。</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详细评审--技术参数.docx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投标人针对本项目有具体的安装调试方案。包含但不限于安装、调试组织措施，针对本项目特点做出合理计划及调配，由专业的技术人员提供设备安装服务，保证设备或系统的顺利使用和稳定运行。 a.安装、调试方案完整、科学合理、措施得当、能完全体现出安装及调试的专业服务得8分； b.安装、调试方案基本完整，有基本的科学合理性、措施基本得当、能体现出安装及调试的专业服务得4分； c.安装、调试方案不全面，无科学合理性、措施不得当、不能能体现出安装及调试的专业服务得2分； d.未提供安装调试方案或方案脱离实际的不得分。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详细评审--安装调试方案.docx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提供2023年至今同类项目的业绩证明文件（以合同签订之日为准），每提供一份有效业绩证明文件得2分，满分6分。 （须提供完整合同复印件并加盖投标人公章，否则不计分）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详细评审--业绩.docx</w:t>
            </w:r>
          </w:p>
        </w:tc>
      </w:tr>
      <w:tr>
        <w:tc>
          <w:tcPr>
            <w:tcW w:type="dxa" w:w="831"/>
            <w:vMerge/>
          </w:tcPr>
          <w:p/>
        </w:tc>
        <w:tc>
          <w:tcPr>
            <w:tcW w:type="dxa" w:w="1661"/>
          </w:tcPr>
          <w:p>
            <w:pPr>
              <w:pStyle w:val="null3"/>
            </w:pPr>
            <w:r>
              <w:rPr>
                <w:rFonts w:ascii="仿宋_GB2312" w:hAnsi="仿宋_GB2312" w:cs="仿宋_GB2312" w:eastAsia="仿宋_GB2312"/>
              </w:rPr>
              <w:t>质量保证期服务方案</w:t>
            </w:r>
          </w:p>
        </w:tc>
        <w:tc>
          <w:tcPr>
            <w:tcW w:type="dxa" w:w="2492"/>
          </w:tcPr>
          <w:p>
            <w:pPr>
              <w:pStyle w:val="null3"/>
            </w:pPr>
            <w:r>
              <w:rPr>
                <w:rFonts w:ascii="仿宋_GB2312" w:hAnsi="仿宋_GB2312" w:cs="仿宋_GB2312" w:eastAsia="仿宋_GB2312"/>
              </w:rPr>
              <w:t>投标人针对本项目有详细可行的质量保证期服务方案及承诺，包括但不限于包含服务机构承诺、服务保障措施、人员配置安排计划、故障处理响应时间安排计划、备品备件供应周期、质保期及质量保证的范围承诺、应急处理等。 a.服务承诺及方案满足采购要求，涵盖全面，针对性强，与项目的实际情况完全契合计8分； b.服务承诺及方案基本满足采购要求，涵盖较全面但有不足，针对性不强，与项目的实际情况比较相契合计4分； c.服务承诺及方案不能满足要求，涵盖内容粗略，与项目的实际情况不契合计2分； d.未提供服务方案及承诺或方案及承诺完全脱离项目实际的不得分。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详细评审--质量保证期服务方案.docx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投标人针对项目实施过程中可能出现的供货延迟、人员变动、设备故障、备品备件缺失、等突发情况，提出具体的应对措施。 a. 措施详尽完备、科学合理，能够确保项目顺利实施的，可得4分； b. 措施基本齐全，具备一定合理性，仅能保障项目正常运行的，可得2分； c. 未提供应急措施，或措施与实际情况不符的，不得分。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详细评审--应急预案.docx</w:t>
            </w:r>
          </w:p>
        </w:tc>
      </w:tr>
      <w:tr>
        <w:tc>
          <w:tcPr>
            <w:tcW w:type="dxa" w:w="831"/>
            <w:vMerge/>
          </w:tcPr>
          <w:p/>
        </w:tc>
        <w:tc>
          <w:tcPr>
            <w:tcW w:type="dxa" w:w="1661"/>
          </w:tcPr>
          <w:p>
            <w:pPr>
              <w:pStyle w:val="null3"/>
            </w:pPr>
            <w:r>
              <w:rPr>
                <w:rFonts w:ascii="仿宋_GB2312" w:hAnsi="仿宋_GB2312" w:cs="仿宋_GB2312" w:eastAsia="仿宋_GB2312"/>
              </w:rPr>
              <w:t>培训措施</w:t>
            </w:r>
          </w:p>
        </w:tc>
        <w:tc>
          <w:tcPr>
            <w:tcW w:type="dxa" w:w="2492"/>
          </w:tcPr>
          <w:p>
            <w:pPr>
              <w:pStyle w:val="null3"/>
            </w:pPr>
            <w:r>
              <w:rPr>
                <w:rFonts w:ascii="仿宋_GB2312" w:hAnsi="仿宋_GB2312" w:cs="仿宋_GB2312" w:eastAsia="仿宋_GB2312"/>
              </w:rPr>
              <w:t>投标人需提供培训方案及培训计划，方案包括但不限于培训计划、培训对象、培训内容、培训方式和培训目标等。 a.培训方案涵盖内容全面、思路清晰、培训方法及安排合理，可行性强能确保使用人员能够独立熟练操作、维护和正常使用的得8分； b.培训方案涵盖内容基本全面，思路较为清晰，培训方法及安排基本合理，可行性较强有利于使用人员能够独立操作、维护和使用的得4分； c.培训方案内容有缺失、思路不清晰、培训方法及安排不合理、可行性低的得2分； d.未提供培训方案或培训方案完全脱离项目实际的不得分。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详细评审--培训措施.docx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采用低价优先法计算，即满足招标文件要求且有效投标价格最低的投标报价为评标基准价，其价格分为满分。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注：所投产品符合《国务院办公厅关于在政府采购中实施本国产品标准及相关政策的通知》的本国产品，给予20%的价格扣除，用扣除后的价格参与评审。（投标人应对其提供的产品出具《关于符合本国产品标准的声明函》或财政部会同有关部门规定的有关证明文件。）</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投标人认为有必要说明的问题.docx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详见附件：投标人认为有必要说明的问题.docx</w:t>
      </w:r>
    </w:p>
    <w:p>
      <w:pPr>
        <w:pStyle w:val="null3"/>
        <w:ind w:firstLine="960"/>
      </w:pPr>
      <w:r>
        <w:rPr>
          <w:rFonts w:ascii="仿宋_GB2312" w:hAnsi="仿宋_GB2312" w:cs="仿宋_GB2312" w:eastAsia="仿宋_GB2312"/>
        </w:rPr>
        <w:t>详见附件：详细评审--节能环境标志产品.docx</w:t>
      </w:r>
    </w:p>
    <w:p>
      <w:pPr>
        <w:pStyle w:val="null3"/>
        <w:ind w:firstLine="960"/>
      </w:pPr>
      <w:r>
        <w:rPr>
          <w:rFonts w:ascii="仿宋_GB2312" w:hAnsi="仿宋_GB2312" w:cs="仿宋_GB2312" w:eastAsia="仿宋_GB2312"/>
        </w:rPr>
        <w:t>详见附件：详细评审--实施方案.docx</w:t>
      </w:r>
    </w:p>
    <w:p>
      <w:pPr>
        <w:pStyle w:val="null3"/>
        <w:ind w:firstLine="960"/>
      </w:pPr>
      <w:r>
        <w:rPr>
          <w:rFonts w:ascii="仿宋_GB2312" w:hAnsi="仿宋_GB2312" w:cs="仿宋_GB2312" w:eastAsia="仿宋_GB2312"/>
        </w:rPr>
        <w:t>详见附件：详细评审--技术参数.docx</w:t>
      </w:r>
    </w:p>
    <w:p>
      <w:pPr>
        <w:pStyle w:val="null3"/>
        <w:ind w:firstLine="960"/>
      </w:pPr>
      <w:r>
        <w:rPr>
          <w:rFonts w:ascii="仿宋_GB2312" w:hAnsi="仿宋_GB2312" w:cs="仿宋_GB2312" w:eastAsia="仿宋_GB2312"/>
        </w:rPr>
        <w:t>详见附件：详细评审--安装调试方案.docx</w:t>
      </w:r>
    </w:p>
    <w:p>
      <w:pPr>
        <w:pStyle w:val="null3"/>
        <w:ind w:firstLine="960"/>
      </w:pPr>
      <w:r>
        <w:rPr>
          <w:rFonts w:ascii="仿宋_GB2312" w:hAnsi="仿宋_GB2312" w:cs="仿宋_GB2312" w:eastAsia="仿宋_GB2312"/>
        </w:rPr>
        <w:t>详见附件：详细评审--业绩.docx</w:t>
      </w:r>
    </w:p>
    <w:p>
      <w:pPr>
        <w:pStyle w:val="null3"/>
        <w:ind w:firstLine="960"/>
      </w:pPr>
      <w:r>
        <w:rPr>
          <w:rFonts w:ascii="仿宋_GB2312" w:hAnsi="仿宋_GB2312" w:cs="仿宋_GB2312" w:eastAsia="仿宋_GB2312"/>
        </w:rPr>
        <w:t>详见附件：详细评审--质量保证期服务方案.docx</w:t>
      </w:r>
    </w:p>
    <w:p>
      <w:pPr>
        <w:pStyle w:val="null3"/>
        <w:ind w:firstLine="960"/>
      </w:pPr>
      <w:r>
        <w:rPr>
          <w:rFonts w:ascii="仿宋_GB2312" w:hAnsi="仿宋_GB2312" w:cs="仿宋_GB2312" w:eastAsia="仿宋_GB2312"/>
        </w:rPr>
        <w:t>详见附件：详细评审--应急预案.docx</w:t>
      </w:r>
    </w:p>
    <w:p>
      <w:pPr>
        <w:pStyle w:val="null3"/>
        <w:ind w:firstLine="960"/>
      </w:pPr>
      <w:r>
        <w:rPr>
          <w:rFonts w:ascii="仿宋_GB2312" w:hAnsi="仿宋_GB2312" w:cs="仿宋_GB2312" w:eastAsia="仿宋_GB2312"/>
        </w:rPr>
        <w:t>详见附件：详细评审--培训措施.docx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