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版本号：ZCBN-省本级-2026-0168920260415001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智慧水利业务组件开发应用</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ZCBN-省本级-2026-01689</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陕西省水利电力工程咨询有限责任公司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陕西省水利电力工程咨询有限责任公司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智慧水利业务组件开发应用</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ZCBN-省本级-2026-01689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智慧水利业务组件开发应用</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建立水利业务应用组件划分、开发技术方法体系，提出组件接口、部署、注册、发布、装配、调用及应用要求，构建水利业务流程知识图绘制及业务应用搭建技术方法，编制《智慧水利业务组件开发应用技术标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1、营业执照或事业单位法人证书：供应商为合法注册的法人、其他组织，具有独立承担民事责任的能力，提供营业执照或事业单位法人证书复印件，供应商为自然人的提供身份证复印件。</w:t>
      </w:r>
    </w:p>
    <w:p>
      <w:pPr>
        <w:pStyle w:val="null3"/>
      </w:pPr>
      <w:r>
        <w:rPr>
          <w:rFonts w:ascii="仿宋_GB2312" w:hAnsi="仿宋_GB2312" w:cs="仿宋_GB2312" w:eastAsia="仿宋_GB2312"/>
        </w:rPr>
        <w:t>2、税收缴纳证明：提供递交投标文件截止之日前一年内任意一个月的依法缴纳税收的相关凭据(时间以税款所属日期为准)复印件。依法免税或无须缴纳税收的供应商，应提供相应证明文件复印件。</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复印件，依法不需要缴纳社会保障资金的供应商应提供相关证明文件复印件。</w:t>
      </w:r>
    </w:p>
    <w:p>
      <w:pPr>
        <w:pStyle w:val="null3"/>
      </w:pPr>
      <w:r>
        <w:rPr>
          <w:rFonts w:ascii="仿宋_GB2312" w:hAnsi="仿宋_GB2312" w:cs="仿宋_GB2312" w:eastAsia="仿宋_GB2312"/>
        </w:rPr>
        <w:t>4、具有履行本合同所必需的设备和专业技术能力：提供具有履行本合同所必需的设备和专业技术能力的承诺并加盖公章。</w:t>
      </w:r>
    </w:p>
    <w:p>
      <w:pPr>
        <w:pStyle w:val="null3"/>
      </w:pPr>
      <w:r>
        <w:rPr>
          <w:rFonts w:ascii="仿宋_GB2312" w:hAnsi="仿宋_GB2312" w:cs="仿宋_GB2312" w:eastAsia="仿宋_GB2312"/>
        </w:rPr>
        <w:t>5、无重大违法记录：参加政府采购活动前三年内，在经营活动中没有重大违法记录书面声明并加盖公章。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何东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029-61835282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陕西省水利电力工程咨询有限责任公司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西安市碑林区兴庆路36号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曹茜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029-87396339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计委关于印发《招标代理服务收费管理暂行办法》的通知（计价格〔2002〕1980号）、《国家发展和改革委员会办公厅关于招标代理服务收费有关问题的通知》（发改办价格〔2003〕857号）及（发改办价格〔2011〕534号）规定的标准收取。中标供应商在领取中标通知书前，须向代理机构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陕西省水利电力工程咨询有限责任公司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陕西省水利电力工程咨询有限责任公司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陕西省水利电力工程咨询有限责任公司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满足招标文件要求，符合国家行业标准、规范。</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陕西省水利电力工程咨询有限责任公司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联系人：曹茜</w:t>
      </w:r>
    </w:p>
    <w:p>
      <w:pPr>
        <w:pStyle w:val="null3"/>
      </w:pPr>
      <w:r>
        <w:rPr>
          <w:rFonts w:ascii="仿宋_GB2312" w:hAnsi="仿宋_GB2312" w:cs="仿宋_GB2312" w:eastAsia="仿宋_GB2312"/>
        </w:rPr>
        <w:t>联系电话：029-87396339</w:t>
      </w:r>
    </w:p>
    <w:p>
      <w:pPr>
        <w:pStyle w:val="null3"/>
      </w:pPr>
      <w:r>
        <w:rPr>
          <w:rFonts w:ascii="仿宋_GB2312" w:hAnsi="仿宋_GB2312" w:cs="仿宋_GB2312" w:eastAsia="仿宋_GB2312"/>
        </w:rPr>
        <w:t>地址：西安市碑林区兴庆路36号</w:t>
      </w:r>
    </w:p>
    <w:p>
      <w:pPr>
        <w:pStyle w:val="null3"/>
      </w:pPr>
      <w:r>
        <w:rPr>
          <w:rFonts w:ascii="仿宋_GB2312" w:hAnsi="仿宋_GB2312" w:cs="仿宋_GB2312" w:eastAsia="仿宋_GB2312"/>
        </w:rPr>
        <w:t>邮编：710032</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立水利业务应用组件划分、开发技术方法体系，提出组件接口、部署、注册、发布、装配、调用及应用要求，构建水利业务流程知识图绘制及业务应用搭建技术方法，编制《智慧水利业务组件开发应用技术标准》。</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智慧水利业务组件开发应用</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标的名称：智慧水利业务组件开发应用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1"/>
                <w:b/>
              </w:rPr>
              <w:t>主要内容：</w:t>
            </w:r>
          </w:p>
          <w:p>
            <w:pPr>
              <w:pStyle w:val="null3"/>
              <w:ind w:firstLine="480"/>
              <w:jc w:val="left"/>
            </w:pPr>
            <w:r>
              <w:rPr>
                <w:rFonts w:ascii="仿宋_GB2312" w:hAnsi="仿宋_GB2312" w:cs="仿宋_GB2312" w:eastAsia="仿宋_GB2312"/>
                <w:sz w:val="21"/>
              </w:rPr>
              <w:t>（</w:t>
            </w:r>
            <w:r>
              <w:rPr>
                <w:rFonts w:ascii="仿宋_GB2312" w:hAnsi="仿宋_GB2312" w:cs="仿宋_GB2312" w:eastAsia="仿宋_GB2312"/>
                <w:sz w:val="21"/>
              </w:rPr>
              <w:t>1）水利业务应用组件划分、开发方法；</w:t>
            </w:r>
            <w:r>
              <w:rPr>
                <w:rFonts w:ascii="仿宋_GB2312" w:hAnsi="仿宋_GB2312" w:cs="仿宋_GB2312" w:eastAsia="仿宋_GB2312"/>
                <w:sz w:val="21"/>
              </w:rPr>
              <w:t>（</w:t>
            </w:r>
            <w:r>
              <w:rPr>
                <w:rFonts w:ascii="仿宋_GB2312" w:hAnsi="仿宋_GB2312" w:cs="仿宋_GB2312" w:eastAsia="仿宋_GB2312"/>
                <w:sz w:val="21"/>
              </w:rPr>
              <w:t>2）水利业务应用组件封装、注册及发布方法；</w:t>
            </w:r>
            <w:r>
              <w:rPr>
                <w:rFonts w:ascii="仿宋_GB2312" w:hAnsi="仿宋_GB2312" w:cs="仿宋_GB2312" w:eastAsia="仿宋_GB2312"/>
                <w:sz w:val="21"/>
              </w:rPr>
              <w:t>（</w:t>
            </w:r>
            <w:r>
              <w:rPr>
                <w:rFonts w:ascii="仿宋_GB2312" w:hAnsi="仿宋_GB2312" w:cs="仿宋_GB2312" w:eastAsia="仿宋_GB2312"/>
                <w:sz w:val="21"/>
              </w:rPr>
              <w:t>3）水利业务流程知识图绘制方法；</w:t>
            </w:r>
            <w:r>
              <w:rPr>
                <w:rFonts w:ascii="仿宋_GB2312" w:hAnsi="仿宋_GB2312" w:cs="仿宋_GB2312" w:eastAsia="仿宋_GB2312"/>
                <w:sz w:val="21"/>
              </w:rPr>
              <w:t>（</w:t>
            </w:r>
            <w:r>
              <w:rPr>
                <w:rFonts w:ascii="仿宋_GB2312" w:hAnsi="仿宋_GB2312" w:cs="仿宋_GB2312" w:eastAsia="仿宋_GB2312"/>
                <w:sz w:val="21"/>
              </w:rPr>
              <w:t>4）水利业务应用组件装配及应用方法；</w:t>
            </w:r>
            <w:r>
              <w:rPr>
                <w:rFonts w:ascii="仿宋_GB2312" w:hAnsi="仿宋_GB2312" w:cs="仿宋_GB2312" w:eastAsia="仿宋_GB2312"/>
                <w:sz w:val="21"/>
              </w:rPr>
              <w:t>（</w:t>
            </w:r>
            <w:r>
              <w:rPr>
                <w:rFonts w:ascii="仿宋_GB2312" w:hAnsi="仿宋_GB2312" w:cs="仿宋_GB2312" w:eastAsia="仿宋_GB2312"/>
                <w:sz w:val="21"/>
              </w:rPr>
              <w:t>5）编制智慧水利业务组件开发应用技术标准。</w:t>
            </w:r>
          </w:p>
          <w:p>
            <w:pPr>
              <w:pStyle w:val="null3"/>
              <w:ind w:firstLine="480"/>
              <w:jc w:val="left"/>
            </w:pPr>
            <w:r>
              <w:rPr>
                <w:rFonts w:ascii="仿宋_GB2312" w:hAnsi="仿宋_GB2312" w:cs="仿宋_GB2312" w:eastAsia="仿宋_GB2312"/>
                <w:sz w:val="21"/>
                <w:b/>
              </w:rPr>
              <w:t xml:space="preserve"> 编制依据：</w:t>
            </w:r>
          </w:p>
          <w:p>
            <w:pPr>
              <w:pStyle w:val="null3"/>
              <w:ind w:firstLine="300"/>
              <w:jc w:val="left"/>
            </w:pPr>
            <w:r>
              <w:rPr>
                <w:rFonts w:ascii="仿宋_GB2312" w:hAnsi="仿宋_GB2312" w:cs="仿宋_GB2312" w:eastAsia="仿宋_GB2312"/>
                <w:sz w:val="21"/>
              </w:rPr>
              <w:t>《中华人民共和国标准化法》2018年1月；</w:t>
            </w:r>
          </w:p>
          <w:p>
            <w:pPr>
              <w:pStyle w:val="null3"/>
              <w:ind w:firstLine="300"/>
              <w:jc w:val="left"/>
            </w:pPr>
            <w:r>
              <w:rPr>
                <w:rFonts w:ascii="仿宋_GB2312" w:hAnsi="仿宋_GB2312" w:cs="仿宋_GB2312" w:eastAsia="仿宋_GB2312"/>
                <w:sz w:val="21"/>
              </w:rPr>
              <w:t>《中华人民共和国水法》2002年10月施行；</w:t>
            </w:r>
          </w:p>
          <w:p>
            <w:pPr>
              <w:pStyle w:val="null3"/>
              <w:ind w:firstLine="300"/>
              <w:jc w:val="left"/>
            </w:pPr>
            <w:r>
              <w:rPr>
                <w:rFonts w:ascii="仿宋_GB2312" w:hAnsi="仿宋_GB2312" w:cs="仿宋_GB2312" w:eastAsia="仿宋_GB2312"/>
                <w:sz w:val="21"/>
              </w:rPr>
              <w:t>《标准体系表编制原则和要求》2009年8月；</w:t>
            </w:r>
          </w:p>
          <w:p>
            <w:pPr>
              <w:pStyle w:val="null3"/>
              <w:ind w:firstLine="300"/>
              <w:jc w:val="left"/>
            </w:pPr>
            <w:r>
              <w:rPr>
                <w:rFonts w:ascii="仿宋_GB2312" w:hAnsi="仿宋_GB2312" w:cs="仿宋_GB2312" w:eastAsia="仿宋_GB2312"/>
                <w:sz w:val="21"/>
              </w:rPr>
              <w:t>《水利技术标准体系表》中华人民共和国水利部发布，2024年6月；</w:t>
            </w:r>
          </w:p>
          <w:p>
            <w:pPr>
              <w:pStyle w:val="null3"/>
              <w:ind w:firstLine="300"/>
              <w:jc w:val="left"/>
            </w:pPr>
            <w:r>
              <w:rPr>
                <w:rFonts w:ascii="仿宋_GB2312" w:hAnsi="仿宋_GB2312" w:cs="仿宋_GB2312" w:eastAsia="仿宋_GB2312"/>
                <w:sz w:val="21"/>
              </w:rPr>
              <w:t>《全国水利信息化规划纲要》，中华人民共和国水利部发布，2001年12 月；</w:t>
            </w:r>
          </w:p>
          <w:p>
            <w:pPr>
              <w:pStyle w:val="null3"/>
              <w:ind w:firstLine="300"/>
              <w:jc w:val="left"/>
            </w:pPr>
            <w:r>
              <w:rPr>
                <w:rFonts w:ascii="仿宋_GB2312" w:hAnsi="仿宋_GB2312" w:cs="仿宋_GB2312" w:eastAsia="仿宋_GB2312"/>
                <w:sz w:val="21"/>
              </w:rPr>
              <w:t>《电子政务标准化指南（第二版）》，国家标准化管理委员会、国务院信息化工作办公室，2003年5月；</w:t>
            </w:r>
          </w:p>
          <w:p>
            <w:pPr>
              <w:pStyle w:val="null3"/>
              <w:ind w:firstLine="300"/>
              <w:jc w:val="left"/>
            </w:pPr>
            <w:r>
              <w:rPr>
                <w:rFonts w:ascii="仿宋_GB2312" w:hAnsi="仿宋_GB2312" w:cs="仿宋_GB2312" w:eastAsia="仿宋_GB2312"/>
                <w:sz w:val="21"/>
              </w:rPr>
              <w:t>《信息技术软件生存周期过程》GB/T 8566-2001；</w:t>
            </w:r>
          </w:p>
          <w:p>
            <w:pPr>
              <w:pStyle w:val="null3"/>
              <w:ind w:firstLine="300"/>
              <w:jc w:val="left"/>
            </w:pPr>
            <w:r>
              <w:rPr>
                <w:rFonts w:ascii="仿宋_GB2312" w:hAnsi="仿宋_GB2312" w:cs="仿宋_GB2312" w:eastAsia="仿宋_GB2312"/>
                <w:sz w:val="21"/>
              </w:rPr>
              <w:t>《计算机软件产品开发文件编制指南》GB8567-1988；</w:t>
            </w:r>
          </w:p>
          <w:p>
            <w:pPr>
              <w:pStyle w:val="null3"/>
              <w:ind w:firstLine="300"/>
              <w:jc w:val="left"/>
            </w:pPr>
            <w:r>
              <w:rPr>
                <w:rFonts w:ascii="仿宋_GB2312" w:hAnsi="仿宋_GB2312" w:cs="仿宋_GB2312" w:eastAsia="仿宋_GB2312"/>
                <w:sz w:val="21"/>
              </w:rPr>
              <w:t>《软件工程术语》GB/T11457-1995；</w:t>
            </w:r>
          </w:p>
          <w:p>
            <w:pPr>
              <w:pStyle w:val="null3"/>
              <w:ind w:firstLine="300"/>
              <w:jc w:val="left"/>
            </w:pPr>
            <w:r>
              <w:rPr>
                <w:rFonts w:ascii="仿宋_GB2312" w:hAnsi="仿宋_GB2312" w:cs="仿宋_GB2312" w:eastAsia="仿宋_GB2312"/>
                <w:sz w:val="21"/>
              </w:rPr>
              <w:t>《信息技术软件包质量要求和测试》GB/T17544-1998；</w:t>
            </w:r>
          </w:p>
          <w:p>
            <w:pPr>
              <w:pStyle w:val="null3"/>
              <w:ind w:firstLine="300"/>
              <w:jc w:val="left"/>
            </w:pPr>
            <w:r>
              <w:rPr>
                <w:rFonts w:ascii="仿宋_GB2312" w:hAnsi="仿宋_GB2312" w:cs="仿宋_GB2312" w:eastAsia="仿宋_GB2312"/>
                <w:sz w:val="21"/>
              </w:rPr>
              <w:t>《水利信息处理平台技术规定》SL538-2011。</w:t>
            </w:r>
          </w:p>
          <w:p>
            <w:pPr>
              <w:pStyle w:val="null3"/>
              <w:ind w:firstLine="554"/>
              <w:jc w:val="both"/>
            </w:pPr>
            <w:r>
              <w:rPr>
                <w:rFonts w:ascii="仿宋_GB2312" w:hAnsi="仿宋_GB2312" w:cs="仿宋_GB2312" w:eastAsia="仿宋_GB2312"/>
                <w:sz w:val="21"/>
                <w:b/>
              </w:rPr>
              <w:t>主要成果：</w:t>
            </w:r>
          </w:p>
          <w:p>
            <w:pPr>
              <w:pStyle w:val="null3"/>
            </w:pPr>
            <w:r>
              <w:rPr>
                <w:rFonts w:ascii="仿宋_GB2312" w:hAnsi="仿宋_GB2312" w:cs="仿宋_GB2312" w:eastAsia="仿宋_GB2312"/>
                <w:sz w:val="21"/>
              </w:rPr>
              <w:t xml:space="preserve">  完成《智慧水利业务组件开发应用技术标准》编制。</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合同签订后90日历天。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递交后，供应商向采购人提交验收申请。2）采购人收到验收申请后组织验收，验收时供应商应予以配合并提供验收所需的全部资料，若供应商不配合或者未按合同要求提供服务的，采购人将拒绝验收。3）验收依据：国家、行业的标准和有关规定，招标文件、投标文件、合同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提交成果后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招标文件中的相关条款执行。2）供应商未按合同要求提服务或服务质量不能满足招标要求，且在规定时间内未达到合同约定的，采购人有权终止合同，对采购人造成经济等损失的，采购人有权进行追责。</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本项目实际服务期限以“智慧水利业务组件开发应用”合同为准。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1）供应商需在项目电子化交易系统中按要求上传相应证明文件并进行电子签章。2）供应商须提供近一年度经审计的财务会计报告（含附表附注），或开标前三个月内基本开户银行出具的资信证明，或信用担保机构出具的投标担保函（以上三种形式的资料提供任何一种即可) 。</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供应商为合法注册的法人、其他组织，具有独立承担民事责任的能力，提供营业执照或事业单位法人证书复印件，供应商为自然人的提供身份证复印件。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提供递交投标文件截止之日前一年内任意一个月的依法缴纳税收的相关凭据(时间以税款所属日期为准)复印件。依法免税或无须缴纳税收的供应商，应提供相应证明文件复印件。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提供递交投标文件截止之日前一年内任意一个月的社会保障资金缴存单据或社保机构开具的社会保险参保缴费情况证明复印件，依法不需要缴纳社会保障资金的供应商应提供相关证明文件复印件。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提供具有履行本合同所必需的设备和专业技术能力的承诺并加盖公章。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参加政府采购活动前三年内，在经营活动中没有重大违法记录书面声明并加盖公章。</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开标一览表 服务内容及服务邀请应答表 人员配备.docx 中小企业声明函 授权委托书.docx 商务应答表 拒绝商业贿赂承诺书.docx 供应商认为有必要说明的事宜（如有）.docx 供应商应提交的相关资格证明材料.docx 承揽的类似项目情况表.docx 投标函 残疾人福利性单位声明函 服务方案 标的清单 项目负责人简况表.docx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投标文件格式</w:t>
            </w:r>
          </w:p>
        </w:tc>
        <w:tc>
          <w:tcPr>
            <w:tcW w:type="dxa" w:w="3322"/>
          </w:tcPr>
          <w:p>
            <w:pPr>
              <w:pStyle w:val="null3"/>
            </w:pPr>
            <w:r>
              <w:rPr>
                <w:rFonts w:ascii="仿宋_GB2312" w:hAnsi="仿宋_GB2312" w:cs="仿宋_GB2312" w:eastAsia="仿宋_GB2312"/>
              </w:rPr>
              <w:t>应符合“第六章 投标文件格式”的要求</w:t>
            </w:r>
          </w:p>
        </w:tc>
        <w:tc>
          <w:tcPr>
            <w:tcW w:type="dxa" w:w="1661"/>
          </w:tcPr>
          <w:p>
            <w:pPr>
              <w:pStyle w:val="null3"/>
            </w:pPr>
            <w:r>
              <w:rPr>
                <w:rFonts w:ascii="仿宋_GB2312" w:hAnsi="仿宋_GB2312" w:cs="仿宋_GB2312" w:eastAsia="仿宋_GB2312"/>
              </w:rPr>
              <w:t>开标一览表 服务内容及服务邀请应答表 人员配备.docx 授权委托书.docx 中小企业声明函 商务应答表 拒绝商业贿赂承诺书.docx 供应商认为有必要说明的事宜（如有）.docx 供应商应提交的相关资格证明材料.docx 投标函 承揽的类似项目情况表.docx 残疾人福利性单位声明函 服务方案 标的清单 投标文件封面 项目负责人简况表.docx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报价唯一且未超出预算（最高限价）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满足招标文件中要求的服务期限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投标函</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对本项目工作的理解与认识</w:t>
            </w:r>
          </w:p>
        </w:tc>
        <w:tc>
          <w:tcPr>
            <w:tcW w:type="dxa" w:w="2492"/>
          </w:tcPr>
          <w:p>
            <w:pPr>
              <w:pStyle w:val="null3"/>
            </w:pPr>
            <w:r>
              <w:rPr>
                <w:rFonts w:ascii="仿宋_GB2312" w:hAnsi="仿宋_GB2312" w:cs="仿宋_GB2312" w:eastAsia="仿宋_GB2312"/>
              </w:rPr>
              <w:t>根据供应商提供的重点、难点分析（包括但不限于工作重点理解深刻程度，对工作难点把握准确性、全面性等）进行打分：工作重点理解深刻，对工作难点把握准确、全面。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实施方案进行打分：供应商的实施计划合理、技术方案完善、实施性强，条理清晰、具有针对性且报告编制所需收集资料及文件的准确性。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报告编制结构框架及内容</w:t>
            </w:r>
          </w:p>
        </w:tc>
        <w:tc>
          <w:tcPr>
            <w:tcW w:type="dxa" w:w="2492"/>
          </w:tcPr>
          <w:p>
            <w:pPr>
              <w:pStyle w:val="null3"/>
            </w:pPr>
            <w:r>
              <w:rPr>
                <w:rFonts w:ascii="仿宋_GB2312" w:hAnsi="仿宋_GB2312" w:cs="仿宋_GB2312" w:eastAsia="仿宋_GB2312"/>
              </w:rPr>
              <w:t>供应商针对本项目报告编制结构框架及内容进行打分：供应商报告结构框架完整、编制内容全面，对评审内容中的各项要求有详细描述，切合本项目实际情况，提出步骤清晰、方案合理且具有针对性，方案能够紧扣项目实际情况，每项完全满足评审标准得2分，有缺陷或者不满足扣1分，缺项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工作进度计划及保证措施</w:t>
            </w:r>
          </w:p>
        </w:tc>
        <w:tc>
          <w:tcPr>
            <w:tcW w:type="dxa" w:w="2492"/>
          </w:tcPr>
          <w:p>
            <w:pPr>
              <w:pStyle w:val="null3"/>
            </w:pPr>
            <w:r>
              <w:rPr>
                <w:rFonts w:ascii="仿宋_GB2312" w:hAnsi="仿宋_GB2312" w:cs="仿宋_GB2312" w:eastAsia="仿宋_GB2312"/>
              </w:rPr>
              <w:t>根据供应商针对本项目工作进度计划及保证措施进行打分：工作进度计划及保证措施步骤节点清晰、切合项目实际。每项完全满足得4分，有缺陷或者不满足扣2分，缺项不得分。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工作质量保证措施</w:t>
            </w:r>
          </w:p>
        </w:tc>
        <w:tc>
          <w:tcPr>
            <w:tcW w:type="dxa" w:w="2492"/>
          </w:tcPr>
          <w:p>
            <w:pPr>
              <w:pStyle w:val="null3"/>
            </w:pPr>
            <w:r>
              <w:rPr>
                <w:rFonts w:ascii="仿宋_GB2312" w:hAnsi="仿宋_GB2312" w:cs="仿宋_GB2312" w:eastAsia="仿宋_GB2312"/>
              </w:rPr>
              <w:t>根据供应商提供的质量保证措施：质量保证体系健全，质量保证措施具有针对性。每项完全满足评审标准得2分，有缺陷或者不满足扣1分，缺项不得分。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项目组织机构</w:t>
            </w:r>
          </w:p>
        </w:tc>
        <w:tc>
          <w:tcPr>
            <w:tcW w:type="dxa" w:w="2492"/>
          </w:tcPr>
          <w:p>
            <w:pPr>
              <w:pStyle w:val="null3"/>
            </w:pPr>
            <w:r>
              <w:rPr>
                <w:rFonts w:ascii="仿宋_GB2312" w:hAnsi="仿宋_GB2312" w:cs="仿宋_GB2312" w:eastAsia="仿宋_GB2312"/>
              </w:rPr>
              <w:t>根据供应商提供的针对本项目组织机构进行打分：组织机构健全、团队人员配备充分满足项目要求、专业配备齐全、职责分工明确。每项完全满足评审标准3分，有缺陷或者不满足扣1.5分，缺项不得分。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近年具有类似项目业绩，每具有一个得3分，最高得9分。 注：应附合同协议书或中标（成交）通知书或立项文件或成果文件（如论文、课题、专利等）复印件。类似项目指：2022年4月1日至投标截止日前，承揽过信息化项目方案编制。</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承揽的类似项目情况表.docx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本项目配备的人员：每具有1个高级（含高级）以上职称人员得2分，最高得6分。应提供有效的身份证、职称证书复印件；且为本单位人员并提供在职证明材料（提供项目负责人与投标人具有劳动关系的证明材料，例如劳动合同及工资发放记录或近三个月中任意一个月社保缴纳证明）。</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水利类高级（含高级）以上职称得3分，没有不得分。注：投标文件中须提供项目负责人身份证、职称证、在职证明（证明人员与投标人具有劳动关系的证明材料，例如劳动合同及工资发放记录或近三个月中任意一个月社保缴纳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项目负责人简况表.docx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经资格审查、符合性审查合格的投标文件，其投标报价为有效投标报价，对符合政策性扣减的供应商的有效投标价格进行政策性扣减，并依据扣减后的价格（评审价格）进行价格评审。 满足招标文件要求且投标报价最低的为评标基准价，其价格分为满分。价格分按照下列公式计算。 报价得分=（评标基准价/有效报价）×价格权重×100 符合招标文件规定的小微企业或监狱企业或残疾人福利性单位优惠条件的供应商，价格给予10%的扣除，用扣除后的价格参与评审。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标的清单</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详见附件：承揽的类似项目情况表.docx</w:t>
      </w:r>
    </w:p>
    <w:p>
      <w:pPr>
        <w:pStyle w:val="null3"/>
        <w:ind w:firstLine="960"/>
      </w:pPr>
      <w:r>
        <w:rPr>
          <w:rFonts w:ascii="仿宋_GB2312" w:hAnsi="仿宋_GB2312" w:cs="仿宋_GB2312" w:eastAsia="仿宋_GB2312"/>
        </w:rPr>
        <w:t>详见附件：项目负责人简况表.docx</w:t>
      </w:r>
    </w:p>
    <w:p>
      <w:pPr>
        <w:pStyle w:val="null3"/>
        <w:ind w:firstLine="960"/>
      </w:pPr>
      <w:r>
        <w:rPr>
          <w:rFonts w:ascii="仿宋_GB2312" w:hAnsi="仿宋_GB2312" w:cs="仿宋_GB2312" w:eastAsia="仿宋_GB2312"/>
        </w:rPr>
        <w:t>详见附件：人员配备.docx</w:t>
      </w:r>
    </w:p>
    <w:p>
      <w:pPr>
        <w:pStyle w:val="null3"/>
        <w:ind w:firstLine="960"/>
      </w:pPr>
      <w:r>
        <w:rPr>
          <w:rFonts w:ascii="仿宋_GB2312" w:hAnsi="仿宋_GB2312" w:cs="仿宋_GB2312" w:eastAsia="仿宋_GB2312"/>
        </w:rPr>
        <w:t>详见附件：供应商认为有必要说明的事宜（如有）.docx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详见附件：合同协议书.docx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