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版本号：陕融招字-2026-0401号20260331002</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高精度U型水槽、新型高位水箱管道系统及高精度声学点流速测试系统</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陕融招字-2026-0401号</w:t>
      </w:r>
      <w:r>
        <w:br/>
      </w:r>
      <w:r>
        <w:br/>
      </w:r>
      <w:r>
        <w:br/>
      </w:r>
    </w:p>
    <w:p>
      <w:pPr>
        <w:pStyle w:val="null3"/>
        <w:jc w:val="center"/>
        <w:outlineLvl w:val="2"/>
      </w:pPr>
      <w:r>
        <w:rPr>
          <w:rFonts w:ascii="仿宋_GB2312" w:hAnsi="仿宋_GB2312" w:cs="仿宋_GB2312" w:eastAsia="仿宋_GB2312"/>
          <w:sz w:val="28"/>
          <w:b/>
        </w:rPr>
        <w:t>西安理工大学</w:t>
      </w:r>
    </w:p>
    <w:p>
      <w:pPr>
        <w:pStyle w:val="null3"/>
        <w:jc w:val="center"/>
        <w:outlineLvl w:val="2"/>
      </w:pPr>
      <w:r>
        <w:rPr>
          <w:rFonts w:ascii="仿宋_GB2312" w:hAnsi="仿宋_GB2312" w:cs="仿宋_GB2312" w:eastAsia="仿宋_GB2312"/>
          <w:sz w:val="28"/>
          <w:b/>
        </w:rPr>
        <w:t>陕西思迈融工程建设项目管理有限公司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2026年03月31日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陕西思迈融工程建设项目管理有限公司</w:t>
      </w:r>
      <w:r>
        <w:rPr>
          <w:rFonts w:ascii="仿宋_GB2312" w:hAnsi="仿宋_GB2312" w:cs="仿宋_GB2312" w:eastAsia="仿宋_GB2312"/>
        </w:rPr>
        <w:t>（以下简称“代理机构”）受</w:t>
      </w:r>
      <w:r>
        <w:rPr>
          <w:rFonts w:ascii="仿宋_GB2312" w:hAnsi="仿宋_GB2312" w:cs="仿宋_GB2312" w:eastAsia="仿宋_GB2312"/>
        </w:rPr>
        <w:t>西安理工大学</w:t>
      </w:r>
      <w:r>
        <w:rPr>
          <w:rFonts w:ascii="仿宋_GB2312" w:hAnsi="仿宋_GB2312" w:cs="仿宋_GB2312" w:eastAsia="仿宋_GB2312"/>
        </w:rPr>
        <w:t>委托，拟对</w:t>
      </w:r>
      <w:r>
        <w:rPr>
          <w:rFonts w:ascii="仿宋_GB2312" w:hAnsi="仿宋_GB2312" w:cs="仿宋_GB2312" w:eastAsia="仿宋_GB2312"/>
        </w:rPr>
        <w:t>高精度U型水槽、新型高位水箱管道系统及高精度声学点流速测试系统</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陕融招字-2026-0401号</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高精度U型水槽、新型高位水箱管道系统及高精度声学点流速测试系统</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本项目为西安理工大学高精度U型水槽、新型高位水箱管道系统及高精度声学点流速测试系统采购项目，分为3个采购包，采购包1：高精度U型水槽，采购包2：新型高位水箱管道系统，采购包3：高精度声学点流速测试系统。其中，采购包1高精度U型弯道水槽将实现高精度的水流流量和沉积物供应量的测量与控制，支持恒定流、非恒定流、两相流等多种实验模式，并可通过计算机自动完成数据采集与分析，支持数据导出为EXCEL格式。高精度U型弯道水槽将用于支持水力学、河流动力学的教学实验及科研项目，包括恒定流、非恒定流、两相流实验，以及推移质运动、悬移质运动、床面冲刷等试验。该设备还可用于社会服务，如为水利工程单位提供技术培训和实验支持，提升实验室的社会影响力。采购包2新型高位水箱管道系统由高功率水泵、高强度钢制高位水箱、电磁流量计、压力表、控制阀、溢流管、溢流堰、回水管道等组成。采购包3高精度声学点流速测试系统建设项目，购置一台高精度声学点流速测试系统，用于学校水利水电学院水力学研究所的科研与教学工作，能够支撑水利工程、环境科学、力学等多学科的实验研究与人才培养。</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采购包1（高精度U型水槽）：属于专门面向中小企业采购。</w:t>
      </w:r>
    </w:p>
    <w:p>
      <w:pPr>
        <w:pStyle w:val="null3"/>
      </w:pPr>
      <w:r>
        <w:rPr>
          <w:rFonts w:ascii="仿宋_GB2312" w:hAnsi="仿宋_GB2312" w:cs="仿宋_GB2312" w:eastAsia="仿宋_GB2312"/>
        </w:rPr>
        <w:t>采购包2（新型高位水箱管道系统）：属于专门面向中小企业采购。</w:t>
      </w:r>
    </w:p>
    <w:p>
      <w:pPr>
        <w:pStyle w:val="null3"/>
      </w:pPr>
      <w:r>
        <w:rPr>
          <w:rFonts w:ascii="仿宋_GB2312" w:hAnsi="仿宋_GB2312" w:cs="仿宋_GB2312" w:eastAsia="仿宋_GB2312"/>
        </w:rPr>
        <w:t>采购包3（高精度声学点流速测试系统）：属于专门面向中小企业采购。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1、投标主体资格证明：供应商为具有独立承担民事责任能力的法人、其他组织或自然人，提供合法有效的统一社会信用代码营业执照（事业单位提供事业单位法人证书，自然人应提供身份证）</w:t>
      </w:r>
    </w:p>
    <w:p>
      <w:pPr>
        <w:pStyle w:val="null3"/>
      </w:pPr>
      <w:r>
        <w:rPr>
          <w:rFonts w:ascii="仿宋_GB2312" w:hAnsi="仿宋_GB2312" w:cs="仿宋_GB2312" w:eastAsia="仿宋_GB2312"/>
        </w:rPr>
        <w:t>2、财务状况报告：提供2024或2025年度具有财务审计资质的单位出具的财务审计报告（成立时间至投标时间不足一年的可提供成立后任意时段的财务报表包括资产负债表、现金流量表、利润分配表）或投标前三个月内基本开户银行出具的资信证明或财政部门认可的政府采购专业担保机构出具的投标担保函</w:t>
      </w:r>
    </w:p>
    <w:p>
      <w:pPr>
        <w:pStyle w:val="null3"/>
      </w:pPr>
      <w:r>
        <w:rPr>
          <w:rFonts w:ascii="仿宋_GB2312" w:hAnsi="仿宋_GB2312" w:cs="仿宋_GB2312" w:eastAsia="仿宋_GB2312"/>
        </w:rPr>
        <w:t>3、税收缴纳证明：提供递交投标文件截止之日前一年内任意一个月的依法缴纳税收的相关凭据，凭据应有税务机关或代收机关的公章或业务专用章。依法免税或无须缴纳税收的投标供应商，应提供相应证明文件</w:t>
      </w:r>
    </w:p>
    <w:p>
      <w:pPr>
        <w:pStyle w:val="null3"/>
      </w:pPr>
      <w:r>
        <w:rPr>
          <w:rFonts w:ascii="仿宋_GB2312" w:hAnsi="仿宋_GB2312" w:cs="仿宋_GB2312" w:eastAsia="仿宋_GB2312"/>
        </w:rPr>
        <w:t>4、社会保障资金缴纳证明：提供递交投标文件截止之日前一年内任意一个月的社会保障资金缴存单据或社保机构开具的社会保险参保缴费情况证明。依法不需要缴纳社会保障资金的投标供应商应提供相关文件证明</w:t>
      </w:r>
    </w:p>
    <w:p>
      <w:pPr>
        <w:pStyle w:val="null3"/>
      </w:pPr>
      <w:r>
        <w:rPr>
          <w:rFonts w:ascii="仿宋_GB2312" w:hAnsi="仿宋_GB2312" w:cs="仿宋_GB2312" w:eastAsia="仿宋_GB2312"/>
        </w:rPr>
        <w:t>5、承诺书：提供具有履行本合同所必需的设备和专业技术能力的承诺</w:t>
      </w:r>
    </w:p>
    <w:p>
      <w:pPr>
        <w:pStyle w:val="null3"/>
      </w:pPr>
      <w:r>
        <w:rPr>
          <w:rFonts w:ascii="仿宋_GB2312" w:hAnsi="仿宋_GB2312" w:cs="仿宋_GB2312" w:eastAsia="仿宋_GB2312"/>
        </w:rPr>
        <w:t>6、书面声明：参加政府采购活动前3年内，在经营活动中没有重大违法记录的书面声明</w:t>
      </w:r>
    </w:p>
    <w:p>
      <w:pPr>
        <w:pStyle w:val="null3"/>
      </w:pPr>
      <w:r>
        <w:rPr>
          <w:rFonts w:ascii="仿宋_GB2312" w:hAnsi="仿宋_GB2312" w:cs="仿宋_GB2312" w:eastAsia="仿宋_GB2312"/>
        </w:rPr>
        <w:t>7、法定代表人身份证明书或法定代表人授权委托书：提供法定代表人/负责人授权书（附法定代表人/负责人、被授权人身份证复印件及被授权人近半年任意一个月社保缴纳证明或劳动合同。）（法定代表人/负责人直接参加投标，须提供法定代表人/负责人身份证明）</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1、投标主体资格证明：供应商为具有独立承担民事责任能力的法人、其他组织或自然人，提供合法有效的统一社会信用代码营业执照（事业单位提供事业单位法人证书，自然人应提供身份证）</w:t>
      </w:r>
    </w:p>
    <w:p>
      <w:pPr>
        <w:pStyle w:val="null3"/>
      </w:pPr>
      <w:r>
        <w:rPr>
          <w:rFonts w:ascii="仿宋_GB2312" w:hAnsi="仿宋_GB2312" w:cs="仿宋_GB2312" w:eastAsia="仿宋_GB2312"/>
        </w:rPr>
        <w:t>2、财务状况报告：提供2024或2025年度具有财务审计资质的单位出具的财务审计报告（成立时间至投标时间不足一年的可提供成立后任意时段的财务报表包括资产负债表、现金流量表、利润分配表）或投标前三个月内基本开户银行出具的资信证明或财政部门认可的政府采购专业担保机构出具的投标担保函</w:t>
      </w:r>
    </w:p>
    <w:p>
      <w:pPr>
        <w:pStyle w:val="null3"/>
      </w:pPr>
      <w:r>
        <w:rPr>
          <w:rFonts w:ascii="仿宋_GB2312" w:hAnsi="仿宋_GB2312" w:cs="仿宋_GB2312" w:eastAsia="仿宋_GB2312"/>
        </w:rPr>
        <w:t>3、税收缴纳证明：提供递交投标文件截止之日前一年内任意一个月的依法缴纳税收的相关凭据，凭据应有税务机关或代收机关的公章或业务专用章。依法免税或无须缴纳税收的投标供应商，应提供相应证明文件</w:t>
      </w:r>
    </w:p>
    <w:p>
      <w:pPr>
        <w:pStyle w:val="null3"/>
      </w:pPr>
      <w:r>
        <w:rPr>
          <w:rFonts w:ascii="仿宋_GB2312" w:hAnsi="仿宋_GB2312" w:cs="仿宋_GB2312" w:eastAsia="仿宋_GB2312"/>
        </w:rPr>
        <w:t>4、社会保障资金缴纳证明：提供递交投标文件截止之日前一年内任意一个月的社会保障资金缴存单据或社保机构开具的社会保险参保缴费情况证明。依法不需要缴纳社会保障资金的投标供应商应提供相关文件证明</w:t>
      </w:r>
    </w:p>
    <w:p>
      <w:pPr>
        <w:pStyle w:val="null3"/>
      </w:pPr>
      <w:r>
        <w:rPr>
          <w:rFonts w:ascii="仿宋_GB2312" w:hAnsi="仿宋_GB2312" w:cs="仿宋_GB2312" w:eastAsia="仿宋_GB2312"/>
        </w:rPr>
        <w:t>5、承诺书：提供具有履行本合同所必需的设备和专业技术能力的承诺</w:t>
      </w:r>
    </w:p>
    <w:p>
      <w:pPr>
        <w:pStyle w:val="null3"/>
      </w:pPr>
      <w:r>
        <w:rPr>
          <w:rFonts w:ascii="仿宋_GB2312" w:hAnsi="仿宋_GB2312" w:cs="仿宋_GB2312" w:eastAsia="仿宋_GB2312"/>
        </w:rPr>
        <w:t>6、书面声明：参加政府采购活动前3年内，在经营活动中没有重大违法记录的书面声明</w:t>
      </w:r>
    </w:p>
    <w:p>
      <w:pPr>
        <w:pStyle w:val="null3"/>
      </w:pPr>
      <w:r>
        <w:rPr>
          <w:rFonts w:ascii="仿宋_GB2312" w:hAnsi="仿宋_GB2312" w:cs="仿宋_GB2312" w:eastAsia="仿宋_GB2312"/>
        </w:rPr>
        <w:t>7、法定代表人身份证明书或法定代表人授权委托书：提供法定代表人/负责人授权书（附法定代表人/负责人、被授权人身份证复印件及被授权人近半年任意一个月社保缴纳证明或劳动合同。）（法定代表人/负责人直接参加投标，须提供法定代表人/负责人身份证明）</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1、投标主体资格证明：供应商为具有独立承担民事责任能力的法人、其他组织或自然人，提供合法有效的统一社会信用代码营业执照（事业单位提供事业单位法人证书，自然人应提供身份证）</w:t>
      </w:r>
    </w:p>
    <w:p>
      <w:pPr>
        <w:pStyle w:val="null3"/>
      </w:pPr>
      <w:r>
        <w:rPr>
          <w:rFonts w:ascii="仿宋_GB2312" w:hAnsi="仿宋_GB2312" w:cs="仿宋_GB2312" w:eastAsia="仿宋_GB2312"/>
        </w:rPr>
        <w:t>2、财务状况报告：提供2024或2025年度具有财务审计资质的单位出具的财务审计报告（成立时间至投标时间不足一年的可提供成立后任意时段的财务报表包括资产负债表、现金流量表、利润分配表）或投标前三个月内基本开户银行出具的资信证明或财政部门认可的政府采购专业担保机构出具的投标担保函</w:t>
      </w:r>
    </w:p>
    <w:p>
      <w:pPr>
        <w:pStyle w:val="null3"/>
      </w:pPr>
      <w:r>
        <w:rPr>
          <w:rFonts w:ascii="仿宋_GB2312" w:hAnsi="仿宋_GB2312" w:cs="仿宋_GB2312" w:eastAsia="仿宋_GB2312"/>
        </w:rPr>
        <w:t>3、税收缴纳证明：提供递交投标文件截止之日前一年内任意一个月的依法缴纳税收的相关凭据，凭据应有税务机关或代收机关的公章或业务专用章。依法免税或无须缴纳税收的投标供应商，应提供相应证明文件</w:t>
      </w:r>
    </w:p>
    <w:p>
      <w:pPr>
        <w:pStyle w:val="null3"/>
      </w:pPr>
      <w:r>
        <w:rPr>
          <w:rFonts w:ascii="仿宋_GB2312" w:hAnsi="仿宋_GB2312" w:cs="仿宋_GB2312" w:eastAsia="仿宋_GB2312"/>
        </w:rPr>
        <w:t>4、社会保障资金缴纳证明：提供递交投标文件截止之日前一年内任意一个月的社会保障资金缴存单据或社保机构开具的社会保险参保缴费情况证明。依法不需要缴纳社会保障资金的投标供应商应提供相关文件证明</w:t>
      </w:r>
    </w:p>
    <w:p>
      <w:pPr>
        <w:pStyle w:val="null3"/>
      </w:pPr>
      <w:r>
        <w:rPr>
          <w:rFonts w:ascii="仿宋_GB2312" w:hAnsi="仿宋_GB2312" w:cs="仿宋_GB2312" w:eastAsia="仿宋_GB2312"/>
        </w:rPr>
        <w:t>5、承诺书：提供具有履行本合同所必需的设备和专业技术能力的承诺</w:t>
      </w:r>
    </w:p>
    <w:p>
      <w:pPr>
        <w:pStyle w:val="null3"/>
      </w:pPr>
      <w:r>
        <w:rPr>
          <w:rFonts w:ascii="仿宋_GB2312" w:hAnsi="仿宋_GB2312" w:cs="仿宋_GB2312" w:eastAsia="仿宋_GB2312"/>
        </w:rPr>
        <w:t>6、书面声明：参加政府采购活动前3年内，在经营活动中没有重大违法记录的书面声明</w:t>
      </w:r>
    </w:p>
    <w:p>
      <w:pPr>
        <w:pStyle w:val="null3"/>
      </w:pPr>
      <w:r>
        <w:rPr>
          <w:rFonts w:ascii="仿宋_GB2312" w:hAnsi="仿宋_GB2312" w:cs="仿宋_GB2312" w:eastAsia="仿宋_GB2312"/>
        </w:rPr>
        <w:t>7、法定代表人身份证明书或法定代表人授权委托书：提供法定代表人/负责人授权书（附法定代表人/负责人、被授权人身份证复印件及被授权人近半年任意一个月社保缴纳证明或劳动合同。）（法定代表人/负责人直接参加投标，须提供法定代表人/负责人身份证明）</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西安理工大学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西安市金花南路5号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710048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西安理工大学经办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029-61228219</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陕西思迈融工程建设项目管理有限公司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陕西省西安市雁塔区南二环东段二环以南凯森盛世1号B座2606号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710048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高雪娇、贾轩博</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15002974213、029-82295130</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采购包1：900,000.00元</w:t>
            </w:r>
          </w:p>
          <w:p>
            <w:pPr>
              <w:pStyle w:val="null3"/>
            </w:pPr>
            <w:r>
              <w:rPr>
                <w:rFonts w:ascii="仿宋_GB2312" w:hAnsi="仿宋_GB2312" w:cs="仿宋_GB2312" w:eastAsia="仿宋_GB2312"/>
              </w:rPr>
              <w:t>采购包2：800,000.00元</w:t>
            </w:r>
          </w:p>
          <w:p>
            <w:pPr>
              <w:pStyle w:val="null3"/>
            </w:pPr>
            <w:r>
              <w:rPr>
                <w:rFonts w:ascii="仿宋_GB2312" w:hAnsi="仿宋_GB2312" w:cs="仿宋_GB2312" w:eastAsia="仿宋_GB2312"/>
              </w:rPr>
              <w:t>采购包3：840,000.00元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p>
          <w:p>
            <w:pPr>
              <w:pStyle w:val="null3"/>
            </w:pPr>
            <w:r>
              <w:rPr>
                <w:rFonts w:ascii="仿宋_GB2312" w:hAnsi="仿宋_GB2312" w:cs="仿宋_GB2312" w:eastAsia="仿宋_GB2312"/>
              </w:rPr>
              <w:t>采购包3：不接受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采购包1保证金金额：18,000.00元</w:t>
            </w:r>
          </w:p>
          <w:p>
            <w:pPr>
              <w:pStyle w:val="null3"/>
            </w:pPr>
            <w:r>
              <w:rPr>
                <w:rFonts w:ascii="仿宋_GB2312" w:hAnsi="仿宋_GB2312" w:cs="仿宋_GB2312" w:eastAsia="仿宋_GB2312"/>
              </w:rPr>
              <w:t>采购包2保证金金额：16,000.00元</w:t>
            </w:r>
          </w:p>
          <w:p>
            <w:pPr>
              <w:pStyle w:val="null3"/>
            </w:pPr>
            <w:r>
              <w:rPr>
                <w:rFonts w:ascii="仿宋_GB2312" w:hAnsi="仿宋_GB2312" w:cs="仿宋_GB2312" w:eastAsia="仿宋_GB2312"/>
              </w:rPr>
              <w:t>采购包3保证金金额：16,800.00元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开户名称：陕西思迈融工程建设项目管理有限公司</w:t>
            </w:r>
          </w:p>
          <w:p>
            <w:pPr>
              <w:pStyle w:val="null3"/>
            </w:pPr>
            <w:r>
              <w:rPr>
                <w:rFonts w:ascii="仿宋_GB2312" w:hAnsi="仿宋_GB2312" w:cs="仿宋_GB2312" w:eastAsia="仿宋_GB2312"/>
              </w:rPr>
              <w:t>开户银行：招商银行股份有限公司西安西影路支行</w:t>
            </w:r>
          </w:p>
          <w:p>
            <w:pPr>
              <w:pStyle w:val="null3"/>
            </w:pPr>
            <w:r>
              <w:rPr>
                <w:rFonts w:ascii="仿宋_GB2312" w:hAnsi="仿宋_GB2312" w:cs="仿宋_GB2312" w:eastAsia="仿宋_GB2312"/>
              </w:rPr>
              <w:t>银行账号：1299 0860 5410 801</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说明：1、项目服务期结束后无违约情形，缴纳的履约保证金无息退还。交纳形式为银行转账等非现金形式，供应商以银行、保险公司出具保函形式提交履约保证金的，采购单位不得拒收。 （备注项目编号＋采购包号＋项目名称） 2、收款账户 收款单位：西安理工大学 开户银行：中国银行西安金花南路支行 银行账号：102891574567</w:t>
            </w:r>
          </w:p>
          <w:p>
            <w:pPr>
              <w:pStyle w:val="null3"/>
            </w:pPr>
            <w:r>
              <w:rPr>
                <w:rFonts w:ascii="仿宋_GB2312" w:hAnsi="仿宋_GB2312" w:cs="仿宋_GB2312" w:eastAsia="仿宋_GB2312"/>
              </w:rPr>
              <w:t>采购包2：缴纳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1、项目服务期结束后无违约情形，缴纳的履约保证金无息退还。交纳形式为银行转账等非现金形式，供应商以银行、保险公司出具保函形式提交履约保证金的，采购单位不得拒收。（备注项目编号＋采购包号＋项目名称） 2、收款账户 收款单位：西安理工大学 开户银行：中国银行西安金花南路支行 银行账号：102891574567</w:t>
            </w:r>
          </w:p>
          <w:p>
            <w:pPr>
              <w:pStyle w:val="null3"/>
            </w:pPr>
            <w:r>
              <w:rPr>
                <w:rFonts w:ascii="仿宋_GB2312" w:hAnsi="仿宋_GB2312" w:cs="仿宋_GB2312" w:eastAsia="仿宋_GB2312"/>
              </w:rPr>
              <w:t>采购包3：缴纳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1、项目服务期结束后无违约情形，缴纳的履约保证金无息退还。交纳形式为银行转账等非现金形式，供应商以银行、保险公司出具保函形式提交履约保证金的，采购单位不得拒收。（备注项目编号＋采购包号＋项目名称） 2、收款账户 收款单位：西安理工大学 开户银行：中国银行西安金花南路支行 银行账号：102891574567</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代理服务费收费标准：代理项目金额80万元以下收取定额3000元；代理项目金额80万以上-400万以下，按照《招标代理服务收费管理暂行办法》（计价格[2002]1980 号）及（发改办价格[2011]534号）规定的计费标准*55%计取。中标单位在领取中标通知书前，须向采购代理机构一次性支付招标代理服务费；代理服务费以转账、电汇或现金等形式交纳。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p>
            <w:pPr>
              <w:pStyle w:val="null3"/>
            </w:pPr>
            <w:r>
              <w:rPr>
                <w:rFonts w:ascii="仿宋_GB2312" w:hAnsi="仿宋_GB2312" w:cs="仿宋_GB2312" w:eastAsia="仿宋_GB2312"/>
              </w:rPr>
              <w:t>采购包3：组织现场踏勘：否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西安理工大学</w:t>
      </w:r>
      <w:r>
        <w:rPr>
          <w:rFonts w:ascii="仿宋_GB2312" w:hAnsi="仿宋_GB2312" w:cs="仿宋_GB2312" w:eastAsia="仿宋_GB2312"/>
        </w:rPr>
        <w:t>和</w:t>
      </w:r>
      <w:r>
        <w:rPr>
          <w:rFonts w:ascii="仿宋_GB2312" w:hAnsi="仿宋_GB2312" w:cs="仿宋_GB2312" w:eastAsia="仿宋_GB2312"/>
        </w:rPr>
        <w:t>陕西思迈融工程建设项目管理有限公司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西安理工大学</w:t>
      </w:r>
      <w:r>
        <w:rPr>
          <w:rFonts w:ascii="仿宋_GB2312" w:hAnsi="仿宋_GB2312" w:cs="仿宋_GB2312" w:eastAsia="仿宋_GB2312"/>
        </w:rPr>
        <w:t>负责解释。除上述招标文件内容，其他内容由</w:t>
      </w:r>
      <w:r>
        <w:rPr>
          <w:rFonts w:ascii="仿宋_GB2312" w:hAnsi="仿宋_GB2312" w:cs="仿宋_GB2312" w:eastAsia="仿宋_GB2312"/>
        </w:rPr>
        <w:t>陕西思迈融工程建设项目管理有限公司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西安理工大学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陕西思迈融工程建设项目管理有限公司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pPr>
      <w:r>
        <w:rPr>
          <w:rFonts w:ascii="仿宋_GB2312" w:hAnsi="仿宋_GB2312" w:cs="仿宋_GB2312" w:eastAsia="仿宋_GB2312"/>
        </w:rPr>
        <w:t>采购包3：不允许合同分包。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符合招标文件及采购人要求，符合合同约定。</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符合招标文件及采购人要求，符合合同约定。</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符合招标文件及采购人要求，符合合同约定。</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陕西思迈融工程建设项目管理有限公司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陕西思迈融工程建设项目管理有限公司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陕西思迈融工程建设项目管理有限公司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联系人：高雪娇、贾轩博</w:t>
      </w:r>
    </w:p>
    <w:p>
      <w:pPr>
        <w:pStyle w:val="null3"/>
      </w:pPr>
      <w:r>
        <w:rPr>
          <w:rFonts w:ascii="仿宋_GB2312" w:hAnsi="仿宋_GB2312" w:cs="仿宋_GB2312" w:eastAsia="仿宋_GB2312"/>
        </w:rPr>
        <w:t>联系电话：029-82295130</w:t>
      </w:r>
    </w:p>
    <w:p>
      <w:pPr>
        <w:pStyle w:val="null3"/>
      </w:pPr>
      <w:r>
        <w:rPr>
          <w:rFonts w:ascii="仿宋_GB2312" w:hAnsi="仿宋_GB2312" w:cs="仿宋_GB2312" w:eastAsia="仿宋_GB2312"/>
        </w:rPr>
        <w:t>地址：陕西省西安市雁塔区南二环东段二环以南凯森盛世1号B座2606室</w:t>
      </w:r>
    </w:p>
    <w:p>
      <w:pPr>
        <w:pStyle w:val="null3"/>
      </w:pPr>
      <w:r>
        <w:rPr>
          <w:rFonts w:ascii="仿宋_GB2312" w:hAnsi="仿宋_GB2312" w:cs="仿宋_GB2312" w:eastAsia="仿宋_GB2312"/>
        </w:rPr>
        <w:t>邮编：710043</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为西安理工大学高精度U型水槽、新型高位水箱管道系统及高精度声学点流速测试系统采购项目，分为3个采购包，采购包1：高精度U型水槽，采购包2：新型高位水箱管道系统，采购包3：高精度声学点流速测试系统。其中，采购包1高精度U型弯道水槽将实现高精度的水流流量和沉积物供应量的测量与控制，支持恒定流、非恒定流、两相流等多种实验模式，并可通过计算机自动完成数据采集与分析，支持数据导出为EXCEL格式。高精度U型弯道水槽将用于支持水力学、河流动力学的教学实验及科研项目，包括恒定流、非恒定流、两相流实验，以及推移质运动、悬移质运动、床面冲刷等试验。该设备还可用于社会服务，如为水利工程单位提供技术培训和实验支持，提升实验室的社会影响力。采购包2新型高位水箱管道系统由高功率水泵、高强度钢制高位水箱、电磁流量计、压力表、控制阀、溢流管、溢流堰、回水管道等组成。采购包3高精度声学点流速测试系统建设项目，购置一台高精度声学点流速测试系统，用于学校水利水电学院水力学研究所的科研与教学工作，能够支撑水利工程、环境科学、力学等多学科的实验研究与人才培养。</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900,000.00</w:t>
      </w:r>
    </w:p>
    <w:p>
      <w:pPr>
        <w:pStyle w:val="null3"/>
      </w:pPr>
      <w:r>
        <w:rPr>
          <w:rFonts w:ascii="仿宋_GB2312" w:hAnsi="仿宋_GB2312" w:cs="仿宋_GB2312" w:eastAsia="仿宋_GB2312"/>
        </w:rPr>
        <w:t>采购包最高限价（元）: 900,000.00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高精度U型水槽</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900,000.00</w:t>
            </w:r>
          </w:p>
        </w:tc>
        <w:tc>
          <w:tcPr>
            <w:tcW w:type="dxa" w:w="831"/>
          </w:tcPr>
          <w:p>
            <w:pPr>
              <w:pStyle w:val="null3"/>
            </w:pPr>
            <w:r>
              <w:rPr>
                <w:rFonts w:ascii="仿宋_GB2312" w:hAnsi="仿宋_GB2312" w:cs="仿宋_GB2312" w:eastAsia="仿宋_GB2312"/>
              </w:rPr>
              <w:t>套</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800,000.00</w:t>
      </w:r>
    </w:p>
    <w:p>
      <w:pPr>
        <w:pStyle w:val="null3"/>
      </w:pPr>
      <w:r>
        <w:rPr>
          <w:rFonts w:ascii="仿宋_GB2312" w:hAnsi="仿宋_GB2312" w:cs="仿宋_GB2312" w:eastAsia="仿宋_GB2312"/>
        </w:rPr>
        <w:t>采购包最高限价（元）: 800,000.00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新型高位水箱管道系统</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800,000.00</w:t>
            </w:r>
          </w:p>
        </w:tc>
        <w:tc>
          <w:tcPr>
            <w:tcW w:type="dxa" w:w="831"/>
          </w:tcPr>
          <w:p>
            <w:pPr>
              <w:pStyle w:val="null3"/>
            </w:pPr>
            <w:r>
              <w:rPr>
                <w:rFonts w:ascii="仿宋_GB2312" w:hAnsi="仿宋_GB2312" w:cs="仿宋_GB2312" w:eastAsia="仿宋_GB2312"/>
              </w:rPr>
              <w:t>套</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是</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采购包预算金额（元）: 840,000.00</w:t>
      </w:r>
    </w:p>
    <w:p>
      <w:pPr>
        <w:pStyle w:val="null3"/>
      </w:pPr>
      <w:r>
        <w:rPr>
          <w:rFonts w:ascii="仿宋_GB2312" w:hAnsi="仿宋_GB2312" w:cs="仿宋_GB2312" w:eastAsia="仿宋_GB2312"/>
        </w:rPr>
        <w:t>采购包最高限价（元）: 840,000.00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高精度声学点流速测试系统</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840,000.00</w:t>
            </w:r>
          </w:p>
        </w:tc>
        <w:tc>
          <w:tcPr>
            <w:tcW w:type="dxa" w:w="831"/>
          </w:tcPr>
          <w:p>
            <w:pPr>
              <w:pStyle w:val="null3"/>
            </w:pPr>
            <w:r>
              <w:rPr>
                <w:rFonts w:ascii="仿宋_GB2312" w:hAnsi="仿宋_GB2312" w:cs="仿宋_GB2312" w:eastAsia="仿宋_GB2312"/>
              </w:rPr>
              <w:t>套</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是</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标的名称：高精度U型水槽</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采购清单及产品数量</w:t>
            </w:r>
          </w:p>
          <w:tbl>
            <w:tblPr>
              <w:tblInd w:type="dxa" w:w="120"/>
              <w:tblBorders>
                <w:top w:val="none" w:color="000000" w:sz="4"/>
                <w:left w:val="none" w:color="000000" w:sz="4"/>
                <w:bottom w:val="none" w:color="000000" w:sz="4"/>
                <w:right w:val="none" w:color="000000" w:sz="4"/>
                <w:insideH w:val="none"/>
                <w:insideV w:val="none"/>
              </w:tblBorders>
            </w:tblPr>
            <w:tblGrid>
              <w:gridCol w:w="303"/>
              <w:gridCol w:w="1396"/>
              <w:gridCol w:w="847"/>
            </w:tblGrid>
            <w:tr>
              <w:tc>
                <w:tcPr>
                  <w:tcW w:type="dxa" w:w="30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序号</w:t>
                  </w:r>
                </w:p>
              </w:tc>
              <w:tc>
                <w:tcPr>
                  <w:tcW w:type="dxa" w:w="139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货物名称</w:t>
                  </w:r>
                </w:p>
              </w:tc>
              <w:tc>
                <w:tcPr>
                  <w:tcW w:type="dxa" w:w="84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数量</w:t>
                  </w:r>
                </w:p>
              </w:tc>
            </w:tr>
            <w:tr>
              <w:tc>
                <w:tcPr>
                  <w:tcW w:type="dxa" w:w="3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13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玻璃水槽</w:t>
                  </w:r>
                  <w:r>
                    <w:rPr>
                      <w:rFonts w:ascii="仿宋_GB2312" w:hAnsi="仿宋_GB2312" w:cs="仿宋_GB2312" w:eastAsia="仿宋_GB2312"/>
                      <w:sz w:val="19"/>
                    </w:rPr>
                    <w:t>U型框架</w:t>
                  </w:r>
                </w:p>
              </w:tc>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1套</w:t>
                  </w:r>
                </w:p>
              </w:tc>
            </w:tr>
            <w:tr>
              <w:tc>
                <w:tcPr>
                  <w:tcW w:type="dxa" w:w="3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c>
                <w:tcPr>
                  <w:tcW w:type="dxa" w:w="13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水槽供回水系统</w:t>
                  </w:r>
                </w:p>
              </w:tc>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1套</w:t>
                  </w:r>
                </w:p>
              </w:tc>
            </w:tr>
            <w:tr>
              <w:tc>
                <w:tcPr>
                  <w:tcW w:type="dxa" w:w="3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w:t>
                  </w:r>
                </w:p>
              </w:tc>
              <w:tc>
                <w:tcPr>
                  <w:tcW w:type="dxa" w:w="13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流量测量系统</w:t>
                  </w:r>
                </w:p>
              </w:tc>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1套</w:t>
                  </w:r>
                </w:p>
              </w:tc>
            </w:tr>
            <w:tr>
              <w:tc>
                <w:tcPr>
                  <w:tcW w:type="dxa" w:w="3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c>
                <w:tcPr>
                  <w:tcW w:type="dxa" w:w="13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自动变坡系统（核心产品）</w:t>
                  </w:r>
                </w:p>
              </w:tc>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1套</w:t>
                  </w:r>
                </w:p>
              </w:tc>
            </w:tr>
            <w:tr>
              <w:tc>
                <w:tcPr>
                  <w:tcW w:type="dxa" w:w="3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c>
                <w:tcPr>
                  <w:tcW w:type="dxa" w:w="13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自动尾门系统</w:t>
                  </w:r>
                </w:p>
              </w:tc>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1套</w:t>
                  </w:r>
                </w:p>
              </w:tc>
            </w:tr>
            <w:tr>
              <w:tc>
                <w:tcPr>
                  <w:tcW w:type="dxa" w:w="3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6</w:t>
                  </w:r>
                </w:p>
              </w:tc>
              <w:tc>
                <w:tcPr>
                  <w:tcW w:type="dxa" w:w="13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超声水位测量系统</w:t>
                  </w:r>
                </w:p>
              </w:tc>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1套</w:t>
                  </w:r>
                </w:p>
              </w:tc>
            </w:tr>
            <w:tr>
              <w:tc>
                <w:tcPr>
                  <w:tcW w:type="dxa" w:w="3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7</w:t>
                  </w:r>
                </w:p>
              </w:tc>
              <w:tc>
                <w:tcPr>
                  <w:tcW w:type="dxa" w:w="13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流量控制系统</w:t>
                  </w:r>
                </w:p>
              </w:tc>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1套</w:t>
                  </w:r>
                </w:p>
              </w:tc>
            </w:tr>
            <w:tr>
              <w:tc>
                <w:tcPr>
                  <w:tcW w:type="dxa" w:w="3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8</w:t>
                  </w:r>
                </w:p>
              </w:tc>
              <w:tc>
                <w:tcPr>
                  <w:tcW w:type="dxa" w:w="13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轨道及观测设备搭载平台</w:t>
                  </w:r>
                </w:p>
              </w:tc>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1套</w:t>
                  </w:r>
                </w:p>
              </w:tc>
            </w:tr>
          </w:tbl>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rPr>
              <w:t>玻璃水槽</w:t>
            </w:r>
            <w:r>
              <w:rPr>
                <w:rFonts w:ascii="仿宋_GB2312" w:hAnsi="仿宋_GB2312" w:cs="仿宋_GB2312" w:eastAsia="仿宋_GB2312"/>
              </w:rPr>
              <w:t>U型框架参数：</w:t>
            </w:r>
          </w:p>
          <w:p>
            <w:pPr>
              <w:pStyle w:val="null3"/>
            </w:pPr>
            <w:r>
              <w:rPr>
                <w:rFonts w:ascii="仿宋_GB2312" w:hAnsi="仿宋_GB2312" w:cs="仿宋_GB2312" w:eastAsia="仿宋_GB2312"/>
              </w:rPr>
              <w:t>★1.规格尺寸：弯段外径≥4m，内径≥2m</w:t>
            </w:r>
            <w:r>
              <w:rPr>
                <w:rFonts w:ascii="仿宋_GB2312" w:hAnsi="仿宋_GB2312" w:cs="仿宋_GB2312" w:eastAsia="仿宋_GB2312"/>
              </w:rPr>
              <w:t>；</w:t>
            </w:r>
            <w:r>
              <w:rPr>
                <w:rFonts w:ascii="仿宋_GB2312" w:hAnsi="仿宋_GB2312" w:cs="仿宋_GB2312" w:eastAsia="仿宋_GB2312"/>
              </w:rPr>
              <w:t>进口直段长度</w:t>
            </w:r>
            <w:r>
              <w:rPr>
                <w:rFonts w:ascii="仿宋_GB2312" w:hAnsi="仿宋_GB2312" w:cs="仿宋_GB2312" w:eastAsia="仿宋_GB2312"/>
              </w:rPr>
              <w:t>≥6m，出口直段长度≥6m</w:t>
            </w:r>
            <w:r>
              <w:rPr>
                <w:rFonts w:ascii="仿宋_GB2312" w:hAnsi="仿宋_GB2312" w:cs="仿宋_GB2312" w:eastAsia="仿宋_GB2312"/>
              </w:rPr>
              <w:t>；</w:t>
            </w:r>
            <w:r>
              <w:rPr>
                <w:rFonts w:ascii="仿宋_GB2312" w:hAnsi="仿宋_GB2312" w:cs="仿宋_GB2312" w:eastAsia="仿宋_GB2312"/>
              </w:rPr>
              <w:t>截面宽度</w:t>
            </w:r>
            <w:r>
              <w:rPr>
                <w:rFonts w:ascii="仿宋_GB2312" w:hAnsi="仿宋_GB2312" w:cs="仿宋_GB2312" w:eastAsia="仿宋_GB2312"/>
              </w:rPr>
              <w:t>≥1m，截面深度≥1m;</w:t>
            </w:r>
            <w:r>
              <w:rPr>
                <w:rFonts w:ascii="仿宋_GB2312" w:hAnsi="仿宋_GB2312" w:cs="仿宋_GB2312" w:eastAsia="仿宋_GB2312"/>
                <w:b/>
              </w:rPr>
              <w:t>（</w:t>
            </w:r>
            <w:r>
              <w:rPr>
                <w:rFonts w:ascii="仿宋_GB2312" w:hAnsi="仿宋_GB2312" w:cs="仿宋_GB2312" w:eastAsia="仿宋_GB2312"/>
                <w:b/>
              </w:rPr>
              <w:t>投标文件内需提供承诺书</w:t>
            </w:r>
            <w:r>
              <w:rPr>
                <w:rFonts w:ascii="仿宋_GB2312" w:hAnsi="仿宋_GB2312" w:cs="仿宋_GB2312" w:eastAsia="仿宋_GB2312"/>
                <w:b/>
              </w:rPr>
              <w:t>）</w:t>
            </w:r>
          </w:p>
          <w:p>
            <w:pPr>
              <w:pStyle w:val="null3"/>
            </w:pPr>
            <w:r>
              <w:rPr>
                <w:rFonts w:ascii="仿宋_GB2312" w:hAnsi="仿宋_GB2312" w:cs="仿宋_GB2312" w:eastAsia="仿宋_GB2312"/>
              </w:rPr>
              <w:t>2.主梁/U型框架：</w:t>
            </w:r>
            <w:r>
              <w:rPr>
                <w:rFonts w:ascii="仿宋_GB2312" w:hAnsi="仿宋_GB2312" w:cs="仿宋_GB2312" w:eastAsia="仿宋_GB2312"/>
              </w:rPr>
              <w:t>Q235B槽钢焊接</w:t>
            </w:r>
            <w:r>
              <w:rPr>
                <w:rFonts w:ascii="仿宋_GB2312" w:hAnsi="仿宋_GB2312" w:cs="仿宋_GB2312" w:eastAsia="仿宋_GB2312"/>
              </w:rPr>
              <w:t>；</w:t>
            </w:r>
          </w:p>
          <w:p>
            <w:pPr>
              <w:pStyle w:val="null3"/>
            </w:pPr>
            <w:r>
              <w:rPr>
                <w:rFonts w:ascii="仿宋_GB2312" w:hAnsi="仿宋_GB2312" w:cs="仿宋_GB2312" w:eastAsia="仿宋_GB2312"/>
              </w:rPr>
              <w:t>3.框架对角线</w:t>
            </w:r>
            <w:r>
              <w:rPr>
                <w:rFonts w:ascii="仿宋_GB2312" w:hAnsi="仿宋_GB2312" w:cs="仿宋_GB2312" w:eastAsia="仿宋_GB2312"/>
              </w:rPr>
              <w:t>精度</w:t>
            </w:r>
            <w:r>
              <w:rPr>
                <w:rFonts w:ascii="仿宋_GB2312" w:hAnsi="仿宋_GB2312" w:cs="仿宋_GB2312" w:eastAsia="仿宋_GB2312"/>
              </w:rPr>
              <w:t>：</w:t>
            </w:r>
            <w:r>
              <w:rPr>
                <w:rFonts w:ascii="仿宋_GB2312" w:hAnsi="仿宋_GB2312" w:cs="仿宋_GB2312" w:eastAsia="仿宋_GB2312"/>
              </w:rPr>
              <w:t>≤±1mm；</w:t>
            </w:r>
          </w:p>
          <w:p>
            <w:pPr>
              <w:pStyle w:val="null3"/>
            </w:pPr>
            <w:r>
              <w:rPr>
                <w:rFonts w:ascii="仿宋_GB2312" w:hAnsi="仿宋_GB2312" w:cs="仿宋_GB2312" w:eastAsia="仿宋_GB2312"/>
              </w:rPr>
              <w:t>4.主梁平整度：±1.5mm；</w:t>
            </w:r>
          </w:p>
          <w:p>
            <w:pPr>
              <w:pStyle w:val="null3"/>
            </w:pPr>
            <w:r>
              <w:rPr>
                <w:rFonts w:ascii="仿宋_GB2312" w:hAnsi="仿宋_GB2312" w:cs="仿宋_GB2312" w:eastAsia="仿宋_GB2312"/>
              </w:rPr>
              <w:t>▲5.水槽玻璃底板平整度：≤±1.5mm；</w:t>
            </w:r>
          </w:p>
          <w:p>
            <w:pPr>
              <w:pStyle w:val="null3"/>
            </w:pPr>
            <w:r>
              <w:rPr>
                <w:rFonts w:ascii="仿宋_GB2312" w:hAnsi="仿宋_GB2312" w:cs="仿宋_GB2312" w:eastAsia="仿宋_GB2312"/>
              </w:rPr>
              <w:t>▲6.水槽玻璃边壁平整度：≤±1.5mm；</w:t>
            </w:r>
          </w:p>
          <w:p>
            <w:pPr>
              <w:pStyle w:val="null3"/>
            </w:pPr>
            <w:r>
              <w:rPr>
                <w:rFonts w:ascii="仿宋_GB2312" w:hAnsi="仿宋_GB2312" w:cs="仿宋_GB2312" w:eastAsia="仿宋_GB2312"/>
              </w:rPr>
              <w:t>7.精度可调结构：框架设置精度可调</w:t>
            </w:r>
            <w:r>
              <w:rPr>
                <w:rFonts w:ascii="仿宋_GB2312" w:hAnsi="仿宋_GB2312" w:cs="仿宋_GB2312" w:eastAsia="仿宋_GB2312"/>
              </w:rPr>
              <w:t>结构</w:t>
            </w:r>
            <w:r>
              <w:rPr>
                <w:rFonts w:ascii="仿宋_GB2312" w:hAnsi="仿宋_GB2312" w:cs="仿宋_GB2312" w:eastAsia="仿宋_GB2312"/>
              </w:rPr>
              <w:t>，通过调整结构调整水槽玻璃精度；</w:t>
            </w:r>
          </w:p>
          <w:p>
            <w:pPr>
              <w:pStyle w:val="null3"/>
            </w:pPr>
            <w:r>
              <w:rPr>
                <w:rFonts w:ascii="仿宋_GB2312" w:hAnsi="仿宋_GB2312" w:cs="仿宋_GB2312" w:eastAsia="仿宋_GB2312"/>
              </w:rPr>
              <w:t>8.水槽进出口：厚度</w:t>
            </w:r>
            <w:r>
              <w:rPr>
                <w:rFonts w:ascii="仿宋_GB2312" w:hAnsi="仿宋_GB2312" w:cs="仿宋_GB2312" w:eastAsia="仿宋_GB2312"/>
              </w:rPr>
              <w:t>≥3mm碳钢材质，</w:t>
            </w:r>
            <w:r>
              <w:rPr>
                <w:rFonts w:ascii="仿宋_GB2312" w:hAnsi="仿宋_GB2312" w:cs="仿宋_GB2312" w:eastAsia="仿宋_GB2312"/>
              </w:rPr>
              <w:t>表面</w:t>
            </w:r>
            <w:r>
              <w:rPr>
                <w:rFonts w:ascii="仿宋_GB2312" w:hAnsi="仿宋_GB2312" w:cs="仿宋_GB2312" w:eastAsia="仿宋_GB2312"/>
              </w:rPr>
              <w:t>做防腐喷漆</w:t>
            </w:r>
            <w:r>
              <w:rPr>
                <w:rFonts w:ascii="仿宋_GB2312" w:hAnsi="仿宋_GB2312" w:cs="仿宋_GB2312" w:eastAsia="仿宋_GB2312"/>
              </w:rPr>
              <w:t>处理</w:t>
            </w:r>
            <w:r>
              <w:rPr>
                <w:rFonts w:ascii="仿宋_GB2312" w:hAnsi="仿宋_GB2312" w:cs="仿宋_GB2312" w:eastAsia="仿宋_GB2312"/>
              </w:rPr>
              <w:t>；</w:t>
            </w:r>
          </w:p>
          <w:p>
            <w:pPr>
              <w:pStyle w:val="null3"/>
            </w:pPr>
            <w:r>
              <w:rPr>
                <w:rFonts w:ascii="仿宋_GB2312" w:hAnsi="仿宋_GB2312" w:cs="仿宋_GB2312" w:eastAsia="仿宋_GB2312"/>
              </w:rPr>
              <w:t>9.玻璃段：进</w:t>
            </w:r>
            <w:r>
              <w:rPr>
                <w:rFonts w:ascii="仿宋_GB2312" w:hAnsi="仿宋_GB2312" w:cs="仿宋_GB2312" w:eastAsia="仿宋_GB2312"/>
              </w:rPr>
              <w:t>口</w:t>
            </w:r>
            <w:r>
              <w:rPr>
                <w:rFonts w:ascii="仿宋_GB2312" w:hAnsi="仿宋_GB2312" w:cs="仿宋_GB2312" w:eastAsia="仿宋_GB2312"/>
              </w:rPr>
              <w:t>直段</w:t>
            </w:r>
            <w:r>
              <w:rPr>
                <w:rFonts w:ascii="仿宋_GB2312" w:hAnsi="仿宋_GB2312" w:cs="仿宋_GB2312" w:eastAsia="仿宋_GB2312"/>
              </w:rPr>
              <w:t>、</w:t>
            </w:r>
            <w:r>
              <w:rPr>
                <w:rFonts w:ascii="仿宋_GB2312" w:hAnsi="仿宋_GB2312" w:cs="仿宋_GB2312" w:eastAsia="仿宋_GB2312"/>
              </w:rPr>
              <w:t>出口直段</w:t>
            </w:r>
            <w:r>
              <w:rPr>
                <w:rFonts w:ascii="仿宋_GB2312" w:hAnsi="仿宋_GB2312" w:cs="仿宋_GB2312" w:eastAsia="仿宋_GB2312"/>
              </w:rPr>
              <w:t>及</w:t>
            </w:r>
            <w:r>
              <w:rPr>
                <w:rFonts w:ascii="仿宋_GB2312" w:hAnsi="仿宋_GB2312" w:cs="仿宋_GB2312" w:eastAsia="仿宋_GB2312"/>
              </w:rPr>
              <w:t>U型</w:t>
            </w:r>
            <w:r>
              <w:rPr>
                <w:rFonts w:ascii="仿宋_GB2312" w:hAnsi="仿宋_GB2312" w:cs="仿宋_GB2312" w:eastAsia="仿宋_GB2312"/>
              </w:rPr>
              <w:t>弯段，</w:t>
            </w:r>
            <w:r>
              <w:rPr>
                <w:rFonts w:ascii="仿宋_GB2312" w:hAnsi="仿宋_GB2312" w:cs="仿宋_GB2312" w:eastAsia="仿宋_GB2312"/>
              </w:rPr>
              <w:t>厚度</w:t>
            </w:r>
            <w:r>
              <w:rPr>
                <w:rFonts w:ascii="仿宋_GB2312" w:hAnsi="仿宋_GB2312" w:cs="仿宋_GB2312" w:eastAsia="仿宋_GB2312"/>
              </w:rPr>
              <w:t>≥12mm超白钢化玻璃；</w:t>
            </w:r>
          </w:p>
          <w:p>
            <w:pPr>
              <w:pStyle w:val="null3"/>
            </w:pPr>
            <w:r>
              <w:rPr>
                <w:rFonts w:ascii="仿宋_GB2312" w:hAnsi="仿宋_GB2312" w:cs="仿宋_GB2312" w:eastAsia="仿宋_GB2312"/>
              </w:rPr>
              <w:t>10.弯段与直段连接：软连接防水</w:t>
            </w:r>
            <w:r>
              <w:rPr>
                <w:rFonts w:ascii="仿宋_GB2312" w:hAnsi="仿宋_GB2312" w:cs="仿宋_GB2312" w:eastAsia="仿宋_GB2312"/>
              </w:rPr>
              <w:t>结构</w:t>
            </w:r>
            <w:r>
              <w:rPr>
                <w:rFonts w:ascii="仿宋_GB2312" w:hAnsi="仿宋_GB2312" w:cs="仿宋_GB2312" w:eastAsia="仿宋_GB2312"/>
              </w:rPr>
              <w:t>；</w:t>
            </w:r>
            <w:r>
              <w:rPr>
                <w:rFonts w:ascii="仿宋_GB2312" w:hAnsi="仿宋_GB2312" w:cs="仿宋_GB2312" w:eastAsia="仿宋_GB2312"/>
              </w:rPr>
              <w:t>防水材料尺寸长度</w:t>
            </w:r>
            <w:r>
              <w:rPr>
                <w:rFonts w:ascii="仿宋_GB2312" w:hAnsi="仿宋_GB2312" w:cs="仿宋_GB2312" w:eastAsia="仿宋_GB2312"/>
              </w:rPr>
              <w:t>≥</w:t>
            </w:r>
            <w:r>
              <w:rPr>
                <w:rFonts w:ascii="仿宋_GB2312" w:hAnsi="仿宋_GB2312" w:cs="仿宋_GB2312" w:eastAsia="仿宋_GB2312"/>
              </w:rPr>
              <w:t>3m，宽度</w:t>
            </w:r>
            <w:r>
              <w:rPr>
                <w:rFonts w:ascii="仿宋_GB2312" w:hAnsi="仿宋_GB2312" w:cs="仿宋_GB2312" w:eastAsia="仿宋_GB2312"/>
              </w:rPr>
              <w:t>≥</w:t>
            </w:r>
            <w:r>
              <w:rPr>
                <w:rFonts w:ascii="仿宋_GB2312" w:hAnsi="仿宋_GB2312" w:cs="仿宋_GB2312" w:eastAsia="仿宋_GB2312"/>
              </w:rPr>
              <w:t>0.2m；</w:t>
            </w:r>
          </w:p>
          <w:p>
            <w:pPr>
              <w:pStyle w:val="null3"/>
            </w:pPr>
            <w:r>
              <w:rPr>
                <w:rFonts w:ascii="仿宋_GB2312" w:hAnsi="仿宋_GB2312" w:cs="仿宋_GB2312" w:eastAsia="仿宋_GB2312"/>
              </w:rPr>
              <w:t>11.消能紊流装置：</w:t>
            </w:r>
            <w:r>
              <w:rPr>
                <w:rFonts w:ascii="仿宋_GB2312" w:hAnsi="仿宋_GB2312" w:cs="仿宋_GB2312" w:eastAsia="仿宋_GB2312"/>
              </w:rPr>
              <w:t>盲沟消能材料</w:t>
            </w:r>
            <w:r>
              <w:rPr>
                <w:rFonts w:ascii="仿宋_GB2312" w:hAnsi="仿宋_GB2312" w:cs="仿宋_GB2312" w:eastAsia="仿宋_GB2312"/>
              </w:rPr>
              <w:t>厚度</w:t>
            </w:r>
            <w:r>
              <w:rPr>
                <w:rFonts w:ascii="仿宋_GB2312" w:hAnsi="仿宋_GB2312" w:cs="仿宋_GB2312" w:eastAsia="仿宋_GB2312"/>
              </w:rPr>
              <w:t>≥</w:t>
            </w:r>
            <w:r>
              <w:rPr>
                <w:rFonts w:ascii="仿宋_GB2312" w:hAnsi="仿宋_GB2312" w:cs="仿宋_GB2312" w:eastAsia="仿宋_GB2312"/>
              </w:rPr>
              <w:t>100mm；</w:t>
            </w:r>
          </w:p>
          <w:p>
            <w:pPr>
              <w:pStyle w:val="null3"/>
            </w:pPr>
            <w:r>
              <w:rPr>
                <w:rFonts w:ascii="仿宋_GB2312" w:hAnsi="仿宋_GB2312" w:cs="仿宋_GB2312" w:eastAsia="仿宋_GB2312"/>
              </w:rPr>
              <w:t>12.槽体为三面钢化玻璃，便于PIV、ADV等测量设备观测。</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rPr>
              <w:t>水槽供回水系统参数：</w:t>
            </w:r>
          </w:p>
          <w:p>
            <w:pPr>
              <w:pStyle w:val="null3"/>
            </w:pPr>
            <w:r>
              <w:rPr>
                <w:rFonts w:ascii="仿宋_GB2312" w:hAnsi="仿宋_GB2312" w:cs="仿宋_GB2312" w:eastAsia="仿宋_GB2312"/>
              </w:rPr>
              <w:t>1.管道及连接件：管道、法兰及软连接</w:t>
            </w:r>
            <w:r>
              <w:rPr>
                <w:rFonts w:ascii="仿宋_GB2312" w:hAnsi="仿宋_GB2312" w:cs="仿宋_GB2312" w:eastAsia="仿宋_GB2312"/>
              </w:rPr>
              <w:t>规格</w:t>
            </w:r>
            <w:r>
              <w:rPr>
                <w:rFonts w:ascii="仿宋_GB2312" w:hAnsi="仿宋_GB2312" w:cs="仿宋_GB2312" w:eastAsia="仿宋_GB2312"/>
              </w:rPr>
              <w:t>≥DN150，钢</w:t>
            </w:r>
            <w:r>
              <w:rPr>
                <w:rFonts w:ascii="仿宋_GB2312" w:hAnsi="仿宋_GB2312" w:cs="仿宋_GB2312" w:eastAsia="仿宋_GB2312"/>
              </w:rPr>
              <w:t>材材质做</w:t>
            </w:r>
            <w:r>
              <w:rPr>
                <w:rFonts w:ascii="仿宋_GB2312" w:hAnsi="仿宋_GB2312" w:cs="仿宋_GB2312" w:eastAsia="仿宋_GB2312"/>
              </w:rPr>
              <w:t>防腐处理；</w:t>
            </w:r>
          </w:p>
          <w:p>
            <w:pPr>
              <w:pStyle w:val="null3"/>
            </w:pPr>
            <w:r>
              <w:rPr>
                <w:rFonts w:ascii="仿宋_GB2312" w:hAnsi="仿宋_GB2312" w:cs="仿宋_GB2312" w:eastAsia="仿宋_GB2312"/>
              </w:rPr>
              <w:t>2.电动阀：灰铸铁</w:t>
            </w:r>
            <w:r>
              <w:rPr>
                <w:rFonts w:ascii="仿宋_GB2312" w:hAnsi="仿宋_GB2312" w:cs="仿宋_GB2312" w:eastAsia="仿宋_GB2312"/>
              </w:rPr>
              <w:t>材质，</w:t>
            </w:r>
            <w:r>
              <w:rPr>
                <w:rFonts w:ascii="仿宋_GB2312" w:hAnsi="仿宋_GB2312" w:cs="仿宋_GB2312" w:eastAsia="仿宋_GB2312"/>
              </w:rPr>
              <w:t>内衬氟橡胶</w:t>
            </w:r>
            <w:r>
              <w:rPr>
                <w:rFonts w:ascii="仿宋_GB2312" w:hAnsi="仿宋_GB2312" w:cs="仿宋_GB2312" w:eastAsia="仿宋_GB2312"/>
              </w:rPr>
              <w:t>，</w:t>
            </w:r>
            <w:r>
              <w:rPr>
                <w:rFonts w:ascii="仿宋_GB2312" w:hAnsi="仿宋_GB2312" w:cs="仿宋_GB2312" w:eastAsia="仿宋_GB2312"/>
              </w:rPr>
              <w:t>4</w:t>
            </w:r>
            <w:r>
              <w:rPr>
                <w:rFonts w:ascii="仿宋_GB2312" w:hAnsi="仿宋_GB2312" w:cs="仿宋_GB2312" w:eastAsia="仿宋_GB2312"/>
              </w:rPr>
              <w:t>～</w:t>
            </w:r>
            <w:r>
              <w:rPr>
                <w:rFonts w:ascii="仿宋_GB2312" w:hAnsi="仿宋_GB2312" w:cs="仿宋_GB2312" w:eastAsia="仿宋_GB2312"/>
              </w:rPr>
              <w:t>2</w:t>
            </w:r>
            <w:r>
              <w:rPr>
                <w:rFonts w:ascii="仿宋_GB2312" w:hAnsi="仿宋_GB2312" w:cs="仿宋_GB2312" w:eastAsia="仿宋_GB2312"/>
              </w:rPr>
              <w:t>0m</w:t>
            </w:r>
            <w:r>
              <w:rPr>
                <w:rFonts w:ascii="仿宋_GB2312" w:hAnsi="仿宋_GB2312" w:cs="仿宋_GB2312" w:eastAsia="仿宋_GB2312"/>
              </w:rPr>
              <w:t>A信号控制</w:t>
            </w:r>
            <w:r>
              <w:rPr>
                <w:rFonts w:ascii="仿宋_GB2312" w:hAnsi="仿宋_GB2312" w:cs="仿宋_GB2312" w:eastAsia="仿宋_GB2312"/>
              </w:rPr>
              <w:t>，</w:t>
            </w:r>
            <w:r>
              <w:rPr>
                <w:rFonts w:ascii="仿宋_GB2312" w:hAnsi="仿宋_GB2312" w:cs="仿宋_GB2312" w:eastAsia="仿宋_GB2312"/>
              </w:rPr>
              <w:t>供电</w:t>
            </w:r>
            <w:r>
              <w:rPr>
                <w:rFonts w:ascii="仿宋_GB2312" w:hAnsi="仿宋_GB2312" w:cs="仿宋_GB2312" w:eastAsia="仿宋_GB2312"/>
              </w:rPr>
              <w:t>电压</w:t>
            </w:r>
            <w:r>
              <w:rPr>
                <w:rFonts w:ascii="仿宋_GB2312" w:hAnsi="仿宋_GB2312" w:cs="仿宋_GB2312" w:eastAsia="仿宋_GB2312"/>
              </w:rPr>
              <w:t>220V，</w:t>
            </w:r>
            <w:r>
              <w:rPr>
                <w:rFonts w:ascii="仿宋_GB2312" w:hAnsi="仿宋_GB2312" w:cs="仿宋_GB2312" w:eastAsia="仿宋_GB2312"/>
              </w:rPr>
              <w:t>调节型</w:t>
            </w:r>
            <w:r>
              <w:rPr>
                <w:rFonts w:ascii="仿宋_GB2312" w:hAnsi="仿宋_GB2312" w:cs="仿宋_GB2312" w:eastAsia="仿宋_GB2312"/>
              </w:rPr>
              <w:t>电动阀</w:t>
            </w:r>
            <w:r>
              <w:rPr>
                <w:rFonts w:ascii="仿宋_GB2312" w:hAnsi="仿宋_GB2312" w:cs="仿宋_GB2312" w:eastAsia="仿宋_GB2312"/>
              </w:rPr>
              <w:t>；</w:t>
            </w:r>
          </w:p>
          <w:p>
            <w:pPr>
              <w:pStyle w:val="null3"/>
            </w:pPr>
            <w:r>
              <w:rPr>
                <w:rFonts w:ascii="仿宋_GB2312" w:hAnsi="仿宋_GB2312" w:cs="仿宋_GB2312" w:eastAsia="仿宋_GB2312"/>
              </w:rPr>
              <w:t>3.流量计：最大测量流量≥100L/s，测量允许误差≤±0.5%，</w:t>
            </w:r>
            <w:r>
              <w:rPr>
                <w:rFonts w:ascii="仿宋_GB2312" w:hAnsi="仿宋_GB2312" w:cs="仿宋_GB2312" w:eastAsia="仿宋_GB2312"/>
              </w:rPr>
              <w:t>电极材质：优于</w:t>
            </w:r>
            <w:r>
              <w:rPr>
                <w:rFonts w:ascii="仿宋_GB2312" w:hAnsi="仿宋_GB2312" w:cs="仿宋_GB2312" w:eastAsia="仿宋_GB2312"/>
              </w:rPr>
              <w:t>316不</w:t>
            </w:r>
            <w:r>
              <w:rPr>
                <w:rFonts w:ascii="仿宋_GB2312" w:hAnsi="仿宋_GB2312" w:cs="仿宋_GB2312" w:eastAsia="仿宋_GB2312"/>
              </w:rPr>
              <w:t>锈钢；</w:t>
            </w:r>
          </w:p>
          <w:p>
            <w:pPr>
              <w:pStyle w:val="null3"/>
            </w:pPr>
            <w:r>
              <w:rPr>
                <w:rFonts w:ascii="仿宋_GB2312" w:hAnsi="仿宋_GB2312" w:cs="仿宋_GB2312" w:eastAsia="仿宋_GB2312"/>
              </w:rPr>
              <w:t>4.变频器：频率调节分辨率0.01～</w:t>
            </w:r>
            <w:r>
              <w:rPr>
                <w:rFonts w:ascii="仿宋_GB2312" w:hAnsi="仿宋_GB2312" w:cs="仿宋_GB2312" w:eastAsia="仿宋_GB2312"/>
              </w:rPr>
              <w:t>50</w:t>
            </w:r>
            <w:r>
              <w:rPr>
                <w:rFonts w:ascii="仿宋_GB2312" w:hAnsi="仿宋_GB2312" w:cs="仿宋_GB2312" w:eastAsia="仿宋_GB2312"/>
              </w:rPr>
              <w:t>Hz</w:t>
            </w:r>
            <w:r>
              <w:rPr>
                <w:rFonts w:ascii="仿宋_GB2312" w:hAnsi="仿宋_GB2312" w:cs="仿宋_GB2312" w:eastAsia="仿宋_GB2312"/>
              </w:rPr>
              <w:t>；</w:t>
            </w:r>
          </w:p>
          <w:p>
            <w:pPr>
              <w:pStyle w:val="null3"/>
            </w:pPr>
            <w:r>
              <w:rPr>
                <w:rFonts w:ascii="仿宋_GB2312" w:hAnsi="仿宋_GB2312" w:cs="仿宋_GB2312" w:eastAsia="仿宋_GB2312"/>
              </w:rPr>
              <w:t>5.最大浑水供水流量：≥100L/s；</w:t>
            </w:r>
          </w:p>
          <w:p>
            <w:pPr>
              <w:pStyle w:val="null3"/>
            </w:pPr>
            <w:r>
              <w:rPr>
                <w:rFonts w:ascii="仿宋_GB2312" w:hAnsi="仿宋_GB2312" w:cs="仿宋_GB2312" w:eastAsia="仿宋_GB2312"/>
              </w:rPr>
              <w:t>6.最小浑水供水流量：≤15L/s；</w:t>
            </w:r>
          </w:p>
          <w:p>
            <w:pPr>
              <w:pStyle w:val="null3"/>
            </w:pPr>
            <w:r>
              <w:rPr>
                <w:rFonts w:ascii="仿宋_GB2312" w:hAnsi="仿宋_GB2312" w:cs="仿宋_GB2312" w:eastAsia="仿宋_GB2312"/>
              </w:rPr>
              <w:t>7.最大流速</w:t>
            </w:r>
            <w:r>
              <w:rPr>
                <w:rFonts w:ascii="仿宋_GB2312" w:hAnsi="仿宋_GB2312" w:cs="仿宋_GB2312" w:eastAsia="仿宋_GB2312"/>
              </w:rPr>
              <w:t>：</w:t>
            </w:r>
            <w:r>
              <w:rPr>
                <w:rFonts w:ascii="仿宋_GB2312" w:hAnsi="仿宋_GB2312" w:cs="仿宋_GB2312" w:eastAsia="仿宋_GB2312"/>
              </w:rPr>
              <w:t>≥1m/s；</w:t>
            </w:r>
          </w:p>
          <w:p>
            <w:pPr>
              <w:pStyle w:val="null3"/>
            </w:pPr>
            <w:r>
              <w:rPr>
                <w:rFonts w:ascii="仿宋_GB2312" w:hAnsi="仿宋_GB2312" w:cs="仿宋_GB2312" w:eastAsia="仿宋_GB2312"/>
              </w:rPr>
              <w:t>8.清水供水：利用实验室现有供水系统，管路长度≥4m，管径≥DN100。</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pPr>
            <w:r>
              <w:rPr>
                <w:rFonts w:ascii="仿宋_GB2312" w:hAnsi="仿宋_GB2312" w:cs="仿宋_GB2312" w:eastAsia="仿宋_GB2312"/>
              </w:rPr>
              <w:t>流量测量系统参数：</w:t>
            </w:r>
          </w:p>
          <w:p>
            <w:pPr>
              <w:pStyle w:val="null3"/>
            </w:pPr>
            <w:r>
              <w:rPr>
                <w:rFonts w:ascii="仿宋_GB2312" w:hAnsi="仿宋_GB2312" w:cs="仿宋_GB2312" w:eastAsia="仿宋_GB2312"/>
              </w:rPr>
              <w:t>1.通讯接口：RS485通信口；</w:t>
            </w:r>
          </w:p>
          <w:p>
            <w:pPr>
              <w:pStyle w:val="null3"/>
            </w:pPr>
            <w:r>
              <w:rPr>
                <w:rFonts w:ascii="仿宋_GB2312" w:hAnsi="仿宋_GB2312" w:cs="仿宋_GB2312" w:eastAsia="仿宋_GB2312"/>
              </w:rPr>
              <w:t>2.流量综合控制箱：整体尺寸≥800mm×600mm×250mm（长×宽×高），智能调控功能。</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pPr>
            <w:r>
              <w:rPr>
                <w:rFonts w:ascii="仿宋_GB2312" w:hAnsi="仿宋_GB2312" w:cs="仿宋_GB2312" w:eastAsia="仿宋_GB2312"/>
              </w:rPr>
              <w:t>自动变坡系统参数：</w:t>
            </w:r>
          </w:p>
          <w:p>
            <w:pPr>
              <w:pStyle w:val="null3"/>
            </w:pPr>
            <w:r>
              <w:rPr>
                <w:rFonts w:ascii="仿宋_GB2312" w:hAnsi="仿宋_GB2312" w:cs="仿宋_GB2312" w:eastAsia="仿宋_GB2312"/>
              </w:rPr>
              <w:t>1.升降机：</w:t>
            </w:r>
            <w:r>
              <w:rPr>
                <w:rFonts w:ascii="仿宋_GB2312" w:hAnsi="仿宋_GB2312" w:cs="仿宋_GB2312" w:eastAsia="仿宋_GB2312"/>
              </w:rPr>
              <w:t>蜗杆转速与蜗轮转速之比范围</w:t>
            </w:r>
            <w:r>
              <w:rPr>
                <w:rFonts w:ascii="仿宋_GB2312" w:hAnsi="仿宋_GB2312" w:cs="仿宋_GB2312" w:eastAsia="仿宋_GB2312"/>
              </w:rPr>
              <w:t>1:1</w:t>
            </w:r>
            <w:r>
              <w:rPr>
                <w:rFonts w:ascii="仿宋_GB2312" w:hAnsi="仿宋_GB2312" w:cs="仿宋_GB2312" w:eastAsia="仿宋_GB2312"/>
              </w:rPr>
              <w:t>～</w:t>
            </w:r>
            <w:r>
              <w:rPr>
                <w:rFonts w:ascii="仿宋_GB2312" w:hAnsi="仿宋_GB2312" w:cs="仿宋_GB2312" w:eastAsia="仿宋_GB2312"/>
              </w:rPr>
              <w:t>3:1</w:t>
            </w:r>
            <w:r>
              <w:rPr>
                <w:rFonts w:ascii="仿宋_GB2312" w:hAnsi="仿宋_GB2312" w:cs="仿宋_GB2312" w:eastAsia="仿宋_GB2312"/>
              </w:rPr>
              <w:t>；</w:t>
            </w:r>
          </w:p>
          <w:p>
            <w:pPr>
              <w:pStyle w:val="null3"/>
            </w:pPr>
            <w:r>
              <w:rPr>
                <w:rFonts w:ascii="仿宋_GB2312" w:hAnsi="仿宋_GB2312" w:cs="仿宋_GB2312" w:eastAsia="仿宋_GB2312"/>
              </w:rPr>
              <w:t>2.变坡控制：变坡自动控制器，自动控制坡降比功能；</w:t>
            </w:r>
          </w:p>
          <w:p>
            <w:pPr>
              <w:pStyle w:val="null3"/>
            </w:pPr>
            <w:r>
              <w:rPr>
                <w:rFonts w:ascii="仿宋_GB2312" w:hAnsi="仿宋_GB2312" w:cs="仿宋_GB2312" w:eastAsia="仿宋_GB2312"/>
              </w:rPr>
              <w:t>▲3.变坡范围内误差：≤±2mm；</w:t>
            </w:r>
          </w:p>
          <w:p>
            <w:pPr>
              <w:pStyle w:val="null3"/>
            </w:pPr>
            <w:r>
              <w:rPr>
                <w:rFonts w:ascii="仿宋_GB2312" w:hAnsi="仿宋_GB2312" w:cs="仿宋_GB2312" w:eastAsia="仿宋_GB2312"/>
              </w:rPr>
              <w:t>4.变坡范围：0～1.5%；</w:t>
            </w:r>
          </w:p>
          <w:p>
            <w:pPr>
              <w:pStyle w:val="null3"/>
            </w:pPr>
            <w:r>
              <w:rPr>
                <w:rFonts w:ascii="仿宋_GB2312" w:hAnsi="仿宋_GB2312" w:cs="仿宋_GB2312" w:eastAsia="仿宋_GB2312"/>
              </w:rPr>
              <w:t>5.机械防偏限位：防止水槽变坡过程中产生侧向位移；</w:t>
            </w:r>
          </w:p>
          <w:p>
            <w:pPr>
              <w:pStyle w:val="null3"/>
            </w:pPr>
            <w:r>
              <w:rPr>
                <w:rFonts w:ascii="仿宋_GB2312" w:hAnsi="仿宋_GB2312" w:cs="仿宋_GB2312" w:eastAsia="仿宋_GB2312"/>
              </w:rPr>
              <w:t>6.电子限位功能：设置安全限位，坡度极限范围：0～1.5%；</w:t>
            </w:r>
          </w:p>
        </w:tc>
      </w:tr>
      <w:tr>
        <w:tc>
          <w:tcPr>
            <w:tcW w:type="dxa" w:w="2769"/>
          </w:tcPr>
          <w:p>
            <w:pPr>
              <w:pStyle w:val="null3"/>
            </w:pPr>
            <w:r>
              <w:rPr>
                <w:rFonts w:ascii="仿宋_GB2312" w:hAnsi="仿宋_GB2312" w:cs="仿宋_GB2312" w:eastAsia="仿宋_GB2312"/>
              </w:rPr>
              <w:t>6</w:t>
            </w:r>
          </w:p>
        </w:tc>
        <w:tc>
          <w:tcPr>
            <w:tcW w:type="dxa" w:w="2769"/>
          </w:tcPr>
          <w:p/>
        </w:tc>
        <w:tc>
          <w:tcPr>
            <w:tcW w:type="dxa" w:w="2769"/>
          </w:tcPr>
          <w:p>
            <w:pPr>
              <w:pStyle w:val="null3"/>
            </w:pPr>
            <w:r>
              <w:rPr>
                <w:rFonts w:ascii="仿宋_GB2312" w:hAnsi="仿宋_GB2312" w:cs="仿宋_GB2312" w:eastAsia="仿宋_GB2312"/>
              </w:rPr>
              <w:t>自动尾门系统参数：</w:t>
            </w:r>
          </w:p>
          <w:p>
            <w:pPr>
              <w:pStyle w:val="null3"/>
            </w:pPr>
            <w:r>
              <w:rPr>
                <w:rFonts w:ascii="仿宋_GB2312" w:hAnsi="仿宋_GB2312" w:cs="仿宋_GB2312" w:eastAsia="仿宋_GB2312"/>
              </w:rPr>
              <w:t>1.尾门叶片材质：不锈钢；</w:t>
            </w:r>
          </w:p>
          <w:p>
            <w:pPr>
              <w:pStyle w:val="null3"/>
            </w:pPr>
            <w:r>
              <w:rPr>
                <w:rFonts w:ascii="仿宋_GB2312" w:hAnsi="仿宋_GB2312" w:cs="仿宋_GB2312" w:eastAsia="仿宋_GB2312"/>
              </w:rPr>
              <w:t>2.过流面积：≥90%；</w:t>
            </w:r>
          </w:p>
          <w:p>
            <w:pPr>
              <w:pStyle w:val="null3"/>
            </w:pPr>
            <w:r>
              <w:rPr>
                <w:rFonts w:ascii="仿宋_GB2312" w:hAnsi="仿宋_GB2312" w:cs="仿宋_GB2312" w:eastAsia="仿宋_GB2312"/>
              </w:rPr>
              <w:t>3.驱动：伺服电机配绝对值编码器驱动；</w:t>
            </w:r>
          </w:p>
          <w:p>
            <w:pPr>
              <w:pStyle w:val="null3"/>
            </w:pPr>
            <w:r>
              <w:rPr>
                <w:rFonts w:ascii="仿宋_GB2312" w:hAnsi="仿宋_GB2312" w:cs="仿宋_GB2312" w:eastAsia="仿宋_GB2312"/>
              </w:rPr>
              <w:t>▲4.控制精度：≤±0.1°；</w:t>
            </w:r>
          </w:p>
          <w:p>
            <w:pPr>
              <w:pStyle w:val="null3"/>
            </w:pPr>
            <w:r>
              <w:rPr>
                <w:rFonts w:ascii="仿宋_GB2312" w:hAnsi="仿宋_GB2312" w:cs="仿宋_GB2312" w:eastAsia="仿宋_GB2312"/>
              </w:rPr>
              <w:t>▲5.尾门反馈控制水位调节误差：≤±5mm</w:t>
            </w:r>
          </w:p>
          <w:p>
            <w:pPr>
              <w:pStyle w:val="null3"/>
            </w:pPr>
            <w:r>
              <w:rPr>
                <w:rFonts w:ascii="仿宋_GB2312" w:hAnsi="仿宋_GB2312" w:cs="仿宋_GB2312" w:eastAsia="仿宋_GB2312"/>
              </w:rPr>
              <w:t>6.</w:t>
            </w:r>
            <w:r>
              <w:rPr>
                <w:rFonts w:ascii="仿宋_GB2312" w:hAnsi="仿宋_GB2312" w:cs="仿宋_GB2312" w:eastAsia="仿宋_GB2312"/>
              </w:rPr>
              <w:t>软件闭环控制功能</w:t>
            </w:r>
            <w:r>
              <w:rPr>
                <w:rFonts w:ascii="仿宋_GB2312" w:hAnsi="仿宋_GB2312" w:cs="仿宋_GB2312" w:eastAsia="仿宋_GB2312"/>
              </w:rPr>
              <w:t>：</w:t>
            </w:r>
            <w:r>
              <w:rPr>
                <w:rFonts w:ascii="仿宋_GB2312" w:hAnsi="仿宋_GB2312" w:cs="仿宋_GB2312" w:eastAsia="仿宋_GB2312"/>
              </w:rPr>
              <w:t>系统硬件设备由软件实现同步闭环控制，根据高精度的水位计同步反馈信号调节尾门开度；</w:t>
            </w:r>
          </w:p>
          <w:p>
            <w:pPr>
              <w:pStyle w:val="null3"/>
            </w:pPr>
            <w:r>
              <w:rPr>
                <w:rFonts w:ascii="仿宋_GB2312" w:hAnsi="仿宋_GB2312" w:cs="仿宋_GB2312" w:eastAsia="仿宋_GB2312"/>
              </w:rPr>
              <w:t>7.</w:t>
            </w:r>
            <w:r>
              <w:rPr>
                <w:rFonts w:ascii="仿宋_GB2312" w:hAnsi="仿宋_GB2312" w:cs="仿宋_GB2312" w:eastAsia="仿宋_GB2312"/>
              </w:rPr>
              <w:t>软件智能调控功能：尾门开合过程中，根据尾门角度传感器实时开度数据</w:t>
            </w:r>
            <w:r>
              <w:rPr>
                <w:rFonts w:ascii="仿宋_GB2312" w:hAnsi="仿宋_GB2312" w:cs="仿宋_GB2312" w:eastAsia="仿宋_GB2312"/>
              </w:rPr>
              <w:t>及</w:t>
            </w:r>
            <w:r>
              <w:rPr>
                <w:rFonts w:ascii="仿宋_GB2312" w:hAnsi="仿宋_GB2312" w:cs="仿宋_GB2312" w:eastAsia="仿宋_GB2312"/>
              </w:rPr>
              <w:t>实际水位数据，动态计算最优开合速度，控制过程平稳、</w:t>
            </w:r>
            <w:r>
              <w:rPr>
                <w:rFonts w:ascii="仿宋_GB2312" w:hAnsi="仿宋_GB2312" w:cs="仿宋_GB2312" w:eastAsia="仿宋_GB2312"/>
              </w:rPr>
              <w:t>无明显振荡</w:t>
            </w:r>
            <w:r>
              <w:rPr>
                <w:rFonts w:ascii="仿宋_GB2312" w:hAnsi="仿宋_GB2312" w:cs="仿宋_GB2312" w:eastAsia="仿宋_GB2312"/>
              </w:rPr>
              <w:t>；</w:t>
            </w:r>
          </w:p>
          <w:p>
            <w:pPr>
              <w:pStyle w:val="null3"/>
            </w:pPr>
            <w:r>
              <w:rPr>
                <w:rFonts w:ascii="仿宋_GB2312" w:hAnsi="仿宋_GB2312" w:cs="仿宋_GB2312" w:eastAsia="仿宋_GB2312"/>
              </w:rPr>
              <w:t>8.软件实验数据的实时显示功能：实验数据的存储与导出，以及制图分析统计。</w:t>
            </w:r>
          </w:p>
        </w:tc>
      </w:tr>
      <w:tr>
        <w:tc>
          <w:tcPr>
            <w:tcW w:type="dxa" w:w="2769"/>
          </w:tcPr>
          <w:p>
            <w:pPr>
              <w:pStyle w:val="null3"/>
            </w:pPr>
            <w:r>
              <w:rPr>
                <w:rFonts w:ascii="仿宋_GB2312" w:hAnsi="仿宋_GB2312" w:cs="仿宋_GB2312" w:eastAsia="仿宋_GB2312"/>
              </w:rPr>
              <w:t>7</w:t>
            </w:r>
          </w:p>
        </w:tc>
        <w:tc>
          <w:tcPr>
            <w:tcW w:type="dxa" w:w="2769"/>
          </w:tcPr>
          <w:p/>
        </w:tc>
        <w:tc>
          <w:tcPr>
            <w:tcW w:type="dxa" w:w="2769"/>
          </w:tcPr>
          <w:p>
            <w:pPr>
              <w:pStyle w:val="null3"/>
            </w:pPr>
            <w:r>
              <w:rPr>
                <w:rFonts w:ascii="仿宋_GB2312" w:hAnsi="仿宋_GB2312" w:cs="仿宋_GB2312" w:eastAsia="仿宋_GB2312"/>
              </w:rPr>
              <w:t>超声水位测量系统参数：</w:t>
            </w:r>
          </w:p>
          <w:p>
            <w:pPr>
              <w:pStyle w:val="null3"/>
            </w:pPr>
            <w:r>
              <w:rPr>
                <w:rFonts w:ascii="仿宋_GB2312" w:hAnsi="仿宋_GB2312" w:cs="仿宋_GB2312" w:eastAsia="仿宋_GB2312"/>
              </w:rPr>
              <w:t>▲1.测量范围：0.1～1m；</w:t>
            </w:r>
          </w:p>
          <w:p>
            <w:pPr>
              <w:pStyle w:val="null3"/>
            </w:pPr>
            <w:r>
              <w:rPr>
                <w:rFonts w:ascii="仿宋_GB2312" w:hAnsi="仿宋_GB2312" w:cs="仿宋_GB2312" w:eastAsia="仿宋_GB2312"/>
              </w:rPr>
              <w:t>▲2.单探头最大误差：≤1mm；</w:t>
            </w:r>
          </w:p>
          <w:p>
            <w:pPr>
              <w:pStyle w:val="null3"/>
            </w:pPr>
            <w:r>
              <w:rPr>
                <w:rFonts w:ascii="仿宋_GB2312" w:hAnsi="仿宋_GB2312" w:cs="仿宋_GB2312" w:eastAsia="仿宋_GB2312"/>
              </w:rPr>
              <w:t>3</w:t>
            </w:r>
            <w:r>
              <w:rPr>
                <w:rFonts w:ascii="仿宋_GB2312" w:hAnsi="仿宋_GB2312" w:cs="仿宋_GB2312" w:eastAsia="仿宋_GB2312"/>
              </w:rPr>
              <w:t>.</w:t>
            </w:r>
            <w:r>
              <w:rPr>
                <w:rFonts w:ascii="仿宋_GB2312" w:hAnsi="仿宋_GB2312" w:cs="仿宋_GB2312" w:eastAsia="仿宋_GB2312"/>
              </w:rPr>
              <w:t>多探头同步测量误差：</w:t>
            </w:r>
            <w:r>
              <w:rPr>
                <w:rFonts w:ascii="仿宋_GB2312" w:hAnsi="仿宋_GB2312" w:cs="仿宋_GB2312" w:eastAsia="仿宋_GB2312"/>
              </w:rPr>
              <w:t>≤±2mm；</w:t>
            </w:r>
          </w:p>
          <w:p>
            <w:pPr>
              <w:pStyle w:val="null3"/>
            </w:pPr>
            <w:r>
              <w:rPr>
                <w:rFonts w:ascii="仿宋_GB2312" w:hAnsi="仿宋_GB2312" w:cs="仿宋_GB2312" w:eastAsia="仿宋_GB2312"/>
              </w:rPr>
              <w:t>4.</w:t>
            </w:r>
            <w:r>
              <w:rPr>
                <w:rFonts w:ascii="仿宋_GB2312" w:hAnsi="仿宋_GB2312" w:cs="仿宋_GB2312" w:eastAsia="仿宋_GB2312"/>
              </w:rPr>
              <w:t>测量</w:t>
            </w:r>
            <w:r>
              <w:rPr>
                <w:rFonts w:ascii="仿宋_GB2312" w:hAnsi="仿宋_GB2312" w:cs="仿宋_GB2312" w:eastAsia="仿宋_GB2312"/>
              </w:rPr>
              <w:t>重复性误差：</w:t>
            </w:r>
            <w:r>
              <w:rPr>
                <w:rFonts w:ascii="仿宋_GB2312" w:hAnsi="仿宋_GB2312" w:cs="仿宋_GB2312" w:eastAsia="仿宋_GB2312"/>
              </w:rPr>
              <w:t>≤0.3mm；</w:t>
            </w:r>
          </w:p>
          <w:p>
            <w:pPr>
              <w:pStyle w:val="null3"/>
            </w:pPr>
            <w:r>
              <w:rPr>
                <w:rFonts w:ascii="仿宋_GB2312" w:hAnsi="仿宋_GB2312" w:cs="仿宋_GB2312" w:eastAsia="仿宋_GB2312"/>
              </w:rPr>
              <w:t>▲5.最大采集频率：≥5Hz；</w:t>
            </w:r>
          </w:p>
          <w:p>
            <w:pPr>
              <w:pStyle w:val="null3"/>
            </w:pPr>
            <w:r>
              <w:rPr>
                <w:rFonts w:ascii="仿宋_GB2312" w:hAnsi="仿宋_GB2312" w:cs="仿宋_GB2312" w:eastAsia="仿宋_GB2312"/>
              </w:rPr>
              <w:t>6</w:t>
            </w:r>
            <w:r>
              <w:rPr>
                <w:rFonts w:ascii="仿宋_GB2312" w:hAnsi="仿宋_GB2312" w:cs="仿宋_GB2312" w:eastAsia="仿宋_GB2312"/>
              </w:rPr>
              <w:t>.</w:t>
            </w:r>
            <w:r>
              <w:rPr>
                <w:rFonts w:ascii="仿宋_GB2312" w:hAnsi="仿宋_GB2312" w:cs="仿宋_GB2312" w:eastAsia="仿宋_GB2312"/>
              </w:rPr>
              <w:t>测量</w:t>
            </w:r>
            <w:r>
              <w:rPr>
                <w:rFonts w:ascii="仿宋_GB2312" w:hAnsi="仿宋_GB2312" w:cs="仿宋_GB2312" w:eastAsia="仿宋_GB2312"/>
              </w:rPr>
              <w:t>分辨率：</w:t>
            </w:r>
            <w:r>
              <w:rPr>
                <w:rFonts w:ascii="仿宋_GB2312" w:hAnsi="仿宋_GB2312" w:cs="仿宋_GB2312" w:eastAsia="仿宋_GB2312"/>
              </w:rPr>
              <w:t>≤0.1mm；</w:t>
            </w:r>
          </w:p>
          <w:p>
            <w:pPr>
              <w:pStyle w:val="null3"/>
            </w:pPr>
            <w:r>
              <w:rPr>
                <w:rFonts w:ascii="仿宋_GB2312" w:hAnsi="仿宋_GB2312" w:cs="仿宋_GB2312" w:eastAsia="仿宋_GB2312"/>
              </w:rPr>
              <w:t>7</w:t>
            </w:r>
            <w:r>
              <w:rPr>
                <w:rFonts w:ascii="仿宋_GB2312" w:hAnsi="仿宋_GB2312" w:cs="仿宋_GB2312" w:eastAsia="仿宋_GB2312"/>
              </w:rPr>
              <w:t>.</w:t>
            </w:r>
            <w:r>
              <w:rPr>
                <w:rFonts w:ascii="仿宋_GB2312" w:hAnsi="仿宋_GB2312" w:cs="仿宋_GB2312" w:eastAsia="仿宋_GB2312"/>
              </w:rPr>
              <w:t>软件参数配置功能：启停控制、采样率设置、查看水位实时变化曲线；</w:t>
            </w:r>
          </w:p>
          <w:p>
            <w:pPr>
              <w:pStyle w:val="null3"/>
            </w:pPr>
            <w:r>
              <w:rPr>
                <w:rFonts w:ascii="仿宋_GB2312" w:hAnsi="仿宋_GB2312" w:cs="仿宋_GB2312" w:eastAsia="仿宋_GB2312"/>
              </w:rPr>
              <w:t>8.软件沿程水位显示功能：实时查看沿程水位变化趋势；</w:t>
            </w:r>
          </w:p>
          <w:p>
            <w:pPr>
              <w:pStyle w:val="null3"/>
            </w:pPr>
            <w:r>
              <w:rPr>
                <w:rFonts w:ascii="仿宋_GB2312" w:hAnsi="仿宋_GB2312" w:cs="仿宋_GB2312" w:eastAsia="仿宋_GB2312"/>
              </w:rPr>
              <w:t>9</w:t>
            </w:r>
            <w:r>
              <w:rPr>
                <w:rFonts w:ascii="仿宋_GB2312" w:hAnsi="仿宋_GB2312" w:cs="仿宋_GB2312" w:eastAsia="仿宋_GB2312"/>
              </w:rPr>
              <w:t>.</w:t>
            </w:r>
            <w:r>
              <w:rPr>
                <w:rFonts w:ascii="仿宋_GB2312" w:hAnsi="仿宋_GB2312" w:cs="仿宋_GB2312" w:eastAsia="仿宋_GB2312"/>
              </w:rPr>
              <w:t>软件数据管理功能：查看水位实时保存的水位的历史数据文件，实验数据可生成曲线图，提供数据保存功能；</w:t>
            </w:r>
          </w:p>
          <w:p>
            <w:pPr>
              <w:pStyle w:val="null3"/>
            </w:pPr>
            <w:r>
              <w:rPr>
                <w:rFonts w:ascii="仿宋_GB2312" w:hAnsi="仿宋_GB2312" w:cs="仿宋_GB2312" w:eastAsia="仿宋_GB2312"/>
              </w:rPr>
              <w:t>10.软件设备管理功能：设备的添加、删除、修改及比例系数K、偏移量B值的标定功能。</w:t>
            </w:r>
          </w:p>
        </w:tc>
      </w:tr>
      <w:tr>
        <w:tc>
          <w:tcPr>
            <w:tcW w:type="dxa" w:w="2769"/>
          </w:tcPr>
          <w:p>
            <w:pPr>
              <w:pStyle w:val="null3"/>
            </w:pPr>
            <w:r>
              <w:rPr>
                <w:rFonts w:ascii="仿宋_GB2312" w:hAnsi="仿宋_GB2312" w:cs="仿宋_GB2312" w:eastAsia="仿宋_GB2312"/>
              </w:rPr>
              <w:t>8</w:t>
            </w:r>
          </w:p>
        </w:tc>
        <w:tc>
          <w:tcPr>
            <w:tcW w:type="dxa" w:w="2769"/>
          </w:tcPr>
          <w:p/>
        </w:tc>
        <w:tc>
          <w:tcPr>
            <w:tcW w:type="dxa" w:w="2769"/>
          </w:tcPr>
          <w:p>
            <w:pPr>
              <w:pStyle w:val="null3"/>
            </w:pPr>
            <w:r>
              <w:rPr>
                <w:rFonts w:ascii="仿宋_GB2312" w:hAnsi="仿宋_GB2312" w:cs="仿宋_GB2312" w:eastAsia="仿宋_GB2312"/>
              </w:rPr>
              <w:t>流量控制系统参数：</w:t>
            </w:r>
          </w:p>
          <w:p>
            <w:pPr>
              <w:pStyle w:val="null3"/>
            </w:pPr>
            <w:r>
              <w:rPr>
                <w:rFonts w:ascii="仿宋_GB2312" w:hAnsi="仿宋_GB2312" w:cs="仿宋_GB2312" w:eastAsia="仿宋_GB2312"/>
              </w:rPr>
              <w:t>▲1.单流量控制精度：≤1%；</w:t>
            </w:r>
          </w:p>
          <w:p>
            <w:pPr>
              <w:pStyle w:val="null3"/>
            </w:pPr>
            <w:r>
              <w:rPr>
                <w:rFonts w:ascii="仿宋_GB2312" w:hAnsi="仿宋_GB2312" w:cs="仿宋_GB2312" w:eastAsia="仿宋_GB2312"/>
              </w:rPr>
              <w:t>▲2.可控流量范围最大误差：≤±5%；</w:t>
            </w:r>
          </w:p>
          <w:p>
            <w:pPr>
              <w:pStyle w:val="null3"/>
            </w:pPr>
            <w:r>
              <w:rPr>
                <w:rFonts w:ascii="仿宋_GB2312" w:hAnsi="仿宋_GB2312" w:cs="仿宋_GB2312" w:eastAsia="仿宋_GB2312"/>
              </w:rPr>
              <w:t>3.目标流量调节时间：≤60s；</w:t>
            </w:r>
          </w:p>
          <w:p>
            <w:pPr>
              <w:pStyle w:val="null3"/>
            </w:pPr>
            <w:r>
              <w:rPr>
                <w:rFonts w:ascii="仿宋_GB2312" w:hAnsi="仿宋_GB2312" w:cs="仿宋_GB2312" w:eastAsia="仿宋_GB2312"/>
              </w:rPr>
              <w:t>4.非恒定流最短周期：≤30s。</w:t>
            </w:r>
          </w:p>
          <w:p>
            <w:pPr>
              <w:pStyle w:val="null3"/>
            </w:pPr>
            <w:r>
              <w:rPr>
                <w:rFonts w:ascii="仿宋_GB2312" w:hAnsi="仿宋_GB2312" w:cs="仿宋_GB2312" w:eastAsia="仿宋_GB2312"/>
              </w:rPr>
              <w:t>5.</w:t>
            </w:r>
            <w:r>
              <w:rPr>
                <w:rFonts w:ascii="仿宋_GB2312" w:hAnsi="仿宋_GB2312" w:cs="仿宋_GB2312" w:eastAsia="仿宋_GB2312"/>
              </w:rPr>
              <w:t>软件闭环控制功能：系统硬件设备由软件同步闭环控制，</w:t>
            </w:r>
            <w:r>
              <w:rPr>
                <w:rFonts w:ascii="仿宋_GB2312" w:hAnsi="仿宋_GB2312" w:cs="仿宋_GB2312" w:eastAsia="仿宋_GB2312"/>
              </w:rPr>
              <w:t>接受</w:t>
            </w:r>
            <w:r>
              <w:rPr>
                <w:rFonts w:ascii="仿宋_GB2312" w:hAnsi="仿宋_GB2312" w:cs="仿宋_GB2312" w:eastAsia="仿宋_GB2312"/>
              </w:rPr>
              <w:t>反馈信号</w:t>
            </w:r>
            <w:r>
              <w:rPr>
                <w:rFonts w:ascii="仿宋_GB2312" w:hAnsi="仿宋_GB2312" w:cs="仿宋_GB2312" w:eastAsia="仿宋_GB2312"/>
              </w:rPr>
              <w:t>实时</w:t>
            </w:r>
            <w:r>
              <w:rPr>
                <w:rFonts w:ascii="仿宋_GB2312" w:hAnsi="仿宋_GB2312" w:cs="仿宋_GB2312" w:eastAsia="仿宋_GB2312"/>
              </w:rPr>
              <w:t>调节；</w:t>
            </w:r>
          </w:p>
          <w:p>
            <w:pPr>
              <w:pStyle w:val="null3"/>
            </w:pPr>
            <w:r>
              <w:rPr>
                <w:rFonts w:ascii="仿宋_GB2312" w:hAnsi="仿宋_GB2312" w:cs="仿宋_GB2312" w:eastAsia="仿宋_GB2312"/>
              </w:rPr>
              <w:t>6.软件阀门控制功能：</w:t>
            </w:r>
            <w:r>
              <w:rPr>
                <w:rFonts w:ascii="仿宋_GB2312" w:hAnsi="仿宋_GB2312" w:cs="仿宋_GB2312" w:eastAsia="仿宋_GB2312"/>
              </w:rPr>
              <w:t>精准</w:t>
            </w:r>
            <w:r>
              <w:rPr>
                <w:rFonts w:ascii="仿宋_GB2312" w:hAnsi="仿宋_GB2312" w:cs="仿宋_GB2312" w:eastAsia="仿宋_GB2312"/>
              </w:rPr>
              <w:t>调节水泵盲区内的流量，并防止回流、保证流量计满管；</w:t>
            </w:r>
          </w:p>
          <w:p>
            <w:pPr>
              <w:pStyle w:val="null3"/>
            </w:pPr>
            <w:r>
              <w:rPr>
                <w:rFonts w:ascii="仿宋_GB2312" w:hAnsi="仿宋_GB2312" w:cs="仿宋_GB2312" w:eastAsia="仿宋_GB2312"/>
              </w:rPr>
              <w:t>7.软件数据处理功能：实验数据的存储与导出、制图、分析及统计功能。</w:t>
            </w:r>
          </w:p>
        </w:tc>
      </w:tr>
      <w:tr>
        <w:tc>
          <w:tcPr>
            <w:tcW w:type="dxa" w:w="2769"/>
          </w:tcPr>
          <w:p>
            <w:pPr>
              <w:pStyle w:val="null3"/>
            </w:pPr>
            <w:r>
              <w:rPr>
                <w:rFonts w:ascii="仿宋_GB2312" w:hAnsi="仿宋_GB2312" w:cs="仿宋_GB2312" w:eastAsia="仿宋_GB2312"/>
              </w:rPr>
              <w:t>9</w:t>
            </w:r>
          </w:p>
        </w:tc>
        <w:tc>
          <w:tcPr>
            <w:tcW w:type="dxa" w:w="2769"/>
          </w:tcPr>
          <w:p/>
        </w:tc>
        <w:tc>
          <w:tcPr>
            <w:tcW w:type="dxa" w:w="2769"/>
          </w:tcPr>
          <w:p>
            <w:pPr>
              <w:pStyle w:val="null3"/>
            </w:pPr>
            <w:r>
              <w:rPr>
                <w:rFonts w:ascii="仿宋_GB2312" w:hAnsi="仿宋_GB2312" w:cs="仿宋_GB2312" w:eastAsia="仿宋_GB2312"/>
              </w:rPr>
              <w:t>轨道及观测设备搭载平台参数</w:t>
            </w:r>
          </w:p>
          <w:p>
            <w:pPr>
              <w:pStyle w:val="null3"/>
            </w:pPr>
            <w:r>
              <w:rPr>
                <w:rFonts w:ascii="仿宋_GB2312" w:hAnsi="仿宋_GB2312" w:cs="仿宋_GB2312" w:eastAsia="仿宋_GB2312"/>
              </w:rPr>
              <w:t>1.轨道承载力:≥100kg；</w:t>
            </w:r>
          </w:p>
          <w:p>
            <w:pPr>
              <w:pStyle w:val="null3"/>
            </w:pPr>
            <w:r>
              <w:rPr>
                <w:rFonts w:ascii="仿宋_GB2312" w:hAnsi="仿宋_GB2312" w:cs="仿宋_GB2312" w:eastAsia="仿宋_GB2312"/>
              </w:rPr>
              <w:t>2.</w:t>
            </w:r>
            <w:r>
              <w:rPr>
                <w:rFonts w:ascii="仿宋_GB2312" w:hAnsi="仿宋_GB2312" w:cs="仿宋_GB2312" w:eastAsia="仿宋_GB2312"/>
              </w:rPr>
              <w:t>轨道调节结构：</w:t>
            </w:r>
            <w:r>
              <w:rPr>
                <w:rFonts w:ascii="仿宋_GB2312" w:hAnsi="仿宋_GB2312" w:cs="仿宋_GB2312" w:eastAsia="仿宋_GB2312"/>
              </w:rPr>
              <w:t>配备</w:t>
            </w:r>
            <w:r>
              <w:rPr>
                <w:rFonts w:ascii="仿宋_GB2312" w:hAnsi="仿宋_GB2312" w:cs="仿宋_GB2312" w:eastAsia="仿宋_GB2312"/>
              </w:rPr>
              <w:t>调节块，可调高程范围</w:t>
            </w:r>
            <w:r>
              <w:rPr>
                <w:rFonts w:ascii="仿宋_GB2312" w:hAnsi="仿宋_GB2312" w:cs="仿宋_GB2312" w:eastAsia="仿宋_GB2312"/>
              </w:rPr>
              <w:t>1</w:t>
            </w:r>
            <w:r>
              <w:rPr>
                <w:rFonts w:ascii="仿宋_GB2312" w:hAnsi="仿宋_GB2312" w:cs="仿宋_GB2312" w:eastAsia="仿宋_GB2312"/>
              </w:rPr>
              <w:t>～</w:t>
            </w:r>
            <w:r>
              <w:rPr>
                <w:rFonts w:ascii="仿宋_GB2312" w:hAnsi="仿宋_GB2312" w:cs="仿宋_GB2312" w:eastAsia="仿宋_GB2312"/>
              </w:rPr>
              <w:t>10mm；</w:t>
            </w:r>
          </w:p>
          <w:p>
            <w:pPr>
              <w:pStyle w:val="null3"/>
            </w:pPr>
            <w:r>
              <w:rPr>
                <w:rFonts w:ascii="仿宋_GB2312" w:hAnsi="仿宋_GB2312" w:cs="仿宋_GB2312" w:eastAsia="仿宋_GB2312"/>
              </w:rPr>
              <w:t>3.轨道内空精度</w:t>
            </w:r>
            <w:r>
              <w:rPr>
                <w:rFonts w:ascii="仿宋_GB2312" w:hAnsi="仿宋_GB2312" w:cs="仿宋_GB2312" w:eastAsia="仿宋_GB2312"/>
              </w:rPr>
              <w:t>误差</w:t>
            </w:r>
            <w:r>
              <w:rPr>
                <w:rFonts w:ascii="仿宋_GB2312" w:hAnsi="仿宋_GB2312" w:cs="仿宋_GB2312" w:eastAsia="仿宋_GB2312"/>
              </w:rPr>
              <w:t>：</w:t>
            </w:r>
            <w:r>
              <w:rPr>
                <w:rFonts w:ascii="仿宋_GB2312" w:hAnsi="仿宋_GB2312" w:cs="仿宋_GB2312" w:eastAsia="仿宋_GB2312"/>
              </w:rPr>
              <w:t>≤±1.2mm；</w:t>
            </w:r>
          </w:p>
          <w:p>
            <w:pPr>
              <w:pStyle w:val="null3"/>
            </w:pPr>
            <w:r>
              <w:rPr>
                <w:rFonts w:ascii="仿宋_GB2312" w:hAnsi="仿宋_GB2312" w:cs="仿宋_GB2312" w:eastAsia="仿宋_GB2312"/>
              </w:rPr>
              <w:t>4.轨道高程精度</w:t>
            </w:r>
            <w:r>
              <w:rPr>
                <w:rFonts w:ascii="仿宋_GB2312" w:hAnsi="仿宋_GB2312" w:cs="仿宋_GB2312" w:eastAsia="仿宋_GB2312"/>
              </w:rPr>
              <w:t>误差</w:t>
            </w:r>
            <w:r>
              <w:rPr>
                <w:rFonts w:ascii="仿宋_GB2312" w:hAnsi="仿宋_GB2312" w:cs="仿宋_GB2312" w:eastAsia="仿宋_GB2312"/>
              </w:rPr>
              <w:t>：</w:t>
            </w:r>
            <w:r>
              <w:rPr>
                <w:rFonts w:ascii="仿宋_GB2312" w:hAnsi="仿宋_GB2312" w:cs="仿宋_GB2312" w:eastAsia="仿宋_GB2312"/>
              </w:rPr>
              <w:t>≤±1.2mm；</w:t>
            </w:r>
          </w:p>
          <w:p>
            <w:pPr>
              <w:pStyle w:val="null3"/>
            </w:pPr>
            <w:r>
              <w:rPr>
                <w:rFonts w:ascii="仿宋_GB2312" w:hAnsi="仿宋_GB2312" w:cs="仿宋_GB2312" w:eastAsia="仿宋_GB2312"/>
              </w:rPr>
              <w:t>5.多功能测架：在水槽直段手动移动范围≥4m，可设置专用夹具（可搭载流速、水位）。</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标的名称：新型高位水箱管道系统</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采购清单及产品数量</w:t>
            </w:r>
          </w:p>
          <w:tbl>
            <w:tblPr>
              <w:tblInd w:type="dxa" w:w="120"/>
              <w:tblBorders>
                <w:top w:val="none" w:color="000000" w:sz="4"/>
                <w:left w:val="none" w:color="000000" w:sz="4"/>
                <w:bottom w:val="none" w:color="000000" w:sz="4"/>
                <w:right w:val="none" w:color="000000" w:sz="4"/>
                <w:insideH w:val="none"/>
                <w:insideV w:val="none"/>
              </w:tblBorders>
            </w:tblPr>
            <w:tblGrid>
              <w:gridCol w:w="309"/>
              <w:gridCol w:w="1390"/>
              <w:gridCol w:w="847"/>
            </w:tblGrid>
            <w:tr>
              <w:tc>
                <w:tcPr>
                  <w:tcW w:type="dxa" w:w="30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序号</w:t>
                  </w:r>
                </w:p>
              </w:tc>
              <w:tc>
                <w:tcPr>
                  <w:tcW w:type="dxa" w:w="139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货物名称</w:t>
                  </w:r>
                </w:p>
              </w:tc>
              <w:tc>
                <w:tcPr>
                  <w:tcW w:type="dxa" w:w="84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数量</w:t>
                  </w:r>
                </w:p>
              </w:tc>
            </w:tr>
            <w:tr>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1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高位水箱</w:t>
                  </w:r>
                </w:p>
              </w:tc>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1套</w:t>
                  </w:r>
                </w:p>
              </w:tc>
            </w:tr>
            <w:tr>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c>
                <w:tcPr>
                  <w:tcW w:type="dxa" w:w="1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水泵系统</w:t>
                  </w:r>
                </w:p>
              </w:tc>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1套</w:t>
                  </w:r>
                </w:p>
              </w:tc>
            </w:tr>
            <w:tr>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w:t>
                  </w:r>
                </w:p>
              </w:tc>
              <w:tc>
                <w:tcPr>
                  <w:tcW w:type="dxa" w:w="1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流量与压力监测</w:t>
                  </w:r>
                </w:p>
              </w:tc>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1套</w:t>
                  </w:r>
                </w:p>
              </w:tc>
            </w:tr>
            <w:tr>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c>
                <w:tcPr>
                  <w:tcW w:type="dxa" w:w="1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辅助设施</w:t>
                  </w:r>
                </w:p>
              </w:tc>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1项</w:t>
                  </w:r>
                </w:p>
              </w:tc>
            </w:tr>
          </w:tbl>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rPr>
              <w:t>高位水箱</w:t>
            </w:r>
            <w:r>
              <w:rPr>
                <w:rFonts w:ascii="仿宋_GB2312" w:hAnsi="仿宋_GB2312" w:cs="仿宋_GB2312" w:eastAsia="仿宋_GB2312"/>
              </w:rPr>
              <w:t>1套：</w:t>
            </w:r>
          </w:p>
          <w:p>
            <w:pPr>
              <w:pStyle w:val="null3"/>
            </w:pPr>
            <w:r>
              <w:rPr>
                <w:rFonts w:ascii="仿宋_GB2312" w:hAnsi="仿宋_GB2312" w:cs="仿宋_GB2312" w:eastAsia="仿宋_GB2312"/>
              </w:rPr>
              <w:t>1</w:t>
            </w:r>
            <w:r>
              <w:rPr>
                <w:rFonts w:ascii="仿宋_GB2312" w:hAnsi="仿宋_GB2312" w:cs="仿宋_GB2312" w:eastAsia="仿宋_GB2312"/>
              </w:rPr>
              <w:t>.</w:t>
            </w:r>
            <w:r>
              <w:rPr>
                <w:rFonts w:ascii="仿宋_GB2312" w:hAnsi="仿宋_GB2312" w:cs="仿宋_GB2312" w:eastAsia="仿宋_GB2312"/>
              </w:rPr>
              <w:t>材质</w:t>
            </w:r>
            <w:r>
              <w:rPr>
                <w:rFonts w:ascii="仿宋_GB2312" w:hAnsi="仿宋_GB2312" w:cs="仿宋_GB2312" w:eastAsia="仿宋_GB2312"/>
              </w:rPr>
              <w:t>及强度</w:t>
            </w:r>
            <w:r>
              <w:rPr>
                <w:rFonts w:ascii="仿宋_GB2312" w:hAnsi="仿宋_GB2312" w:cs="仿宋_GB2312" w:eastAsia="仿宋_GB2312"/>
              </w:rPr>
              <w:t>：高强度钢板，</w:t>
            </w:r>
            <w:r>
              <w:rPr>
                <w:rFonts w:ascii="仿宋_GB2312" w:hAnsi="仿宋_GB2312" w:cs="仿宋_GB2312" w:eastAsia="仿宋_GB2312"/>
              </w:rPr>
              <w:t>钢板</w:t>
            </w:r>
            <w:r>
              <w:rPr>
                <w:rFonts w:ascii="仿宋_GB2312" w:hAnsi="仿宋_GB2312" w:cs="仿宋_GB2312" w:eastAsia="仿宋_GB2312"/>
              </w:rPr>
              <w:t>厚度</w:t>
            </w:r>
            <w:r>
              <w:rPr>
                <w:rFonts w:ascii="仿宋_GB2312" w:hAnsi="仿宋_GB2312" w:cs="仿宋_GB2312" w:eastAsia="仿宋_GB2312"/>
              </w:rPr>
              <w:t>≥6mm，强度不低于5米水头，内衬防腐涂层；</w:t>
            </w:r>
          </w:p>
          <w:p>
            <w:pPr>
              <w:pStyle w:val="null3"/>
            </w:pPr>
            <w:r>
              <w:rPr>
                <w:rFonts w:ascii="仿宋_GB2312" w:hAnsi="仿宋_GB2312" w:cs="仿宋_GB2312" w:eastAsia="仿宋_GB2312"/>
              </w:rPr>
              <w:t>2</w:t>
            </w:r>
            <w:r>
              <w:rPr>
                <w:rFonts w:ascii="仿宋_GB2312" w:hAnsi="仿宋_GB2312" w:cs="仿宋_GB2312" w:eastAsia="仿宋_GB2312"/>
              </w:rPr>
              <w:t>.</w:t>
            </w:r>
            <w:r>
              <w:rPr>
                <w:rFonts w:ascii="仿宋_GB2312" w:hAnsi="仿宋_GB2312" w:cs="仿宋_GB2312" w:eastAsia="仿宋_GB2312"/>
              </w:rPr>
              <w:t>容量</w:t>
            </w:r>
            <w:r>
              <w:rPr>
                <w:rFonts w:ascii="仿宋_GB2312" w:hAnsi="仿宋_GB2312" w:cs="仿宋_GB2312" w:eastAsia="仿宋_GB2312"/>
              </w:rPr>
              <w:t>及尺寸</w:t>
            </w:r>
            <w:r>
              <w:rPr>
                <w:rFonts w:ascii="仿宋_GB2312" w:hAnsi="仿宋_GB2312" w:cs="仿宋_GB2312" w:eastAsia="仿宋_GB2312"/>
              </w:rPr>
              <w:t>：</w:t>
            </w:r>
            <w:r>
              <w:rPr>
                <w:rFonts w:ascii="仿宋_GB2312" w:hAnsi="仿宋_GB2312" w:cs="仿宋_GB2312" w:eastAsia="仿宋_GB2312"/>
              </w:rPr>
              <w:t>水箱容量</w:t>
            </w:r>
            <w:r>
              <w:rPr>
                <w:rFonts w:ascii="仿宋_GB2312" w:hAnsi="仿宋_GB2312" w:cs="仿宋_GB2312" w:eastAsia="仿宋_GB2312"/>
              </w:rPr>
              <w:t>≥5000L（5m³），</w:t>
            </w:r>
            <w:r>
              <w:rPr>
                <w:rFonts w:ascii="仿宋_GB2312" w:hAnsi="仿宋_GB2312" w:cs="仿宋_GB2312" w:eastAsia="仿宋_GB2312"/>
              </w:rPr>
              <w:t>外形尺寸</w:t>
            </w:r>
            <w:r>
              <w:rPr>
                <w:rFonts w:ascii="仿宋_GB2312" w:hAnsi="仿宋_GB2312" w:cs="仿宋_GB2312" w:eastAsia="仿宋_GB2312"/>
              </w:rPr>
              <w:t>≥2m×2m×1.25m（</w:t>
            </w:r>
            <w:r>
              <w:rPr>
                <w:rFonts w:ascii="仿宋_GB2312" w:hAnsi="仿宋_GB2312" w:cs="仿宋_GB2312" w:eastAsia="仿宋_GB2312"/>
              </w:rPr>
              <w:t>长</w:t>
            </w:r>
            <w:r>
              <w:rPr>
                <w:rFonts w:ascii="仿宋_GB2312" w:hAnsi="仿宋_GB2312" w:cs="仿宋_GB2312" w:eastAsia="仿宋_GB2312"/>
              </w:rPr>
              <w:t>×</w:t>
            </w:r>
            <w:r>
              <w:rPr>
                <w:rFonts w:ascii="仿宋_GB2312" w:hAnsi="仿宋_GB2312" w:cs="仿宋_GB2312" w:eastAsia="仿宋_GB2312"/>
              </w:rPr>
              <w:t>宽</w:t>
            </w:r>
            <w:r>
              <w:rPr>
                <w:rFonts w:ascii="仿宋_GB2312" w:hAnsi="仿宋_GB2312" w:cs="仿宋_GB2312" w:eastAsia="仿宋_GB2312"/>
              </w:rPr>
              <w:t>×</w:t>
            </w:r>
            <w:r>
              <w:rPr>
                <w:rFonts w:ascii="仿宋_GB2312" w:hAnsi="仿宋_GB2312" w:cs="仿宋_GB2312" w:eastAsia="仿宋_GB2312"/>
              </w:rPr>
              <w:t>深</w:t>
            </w:r>
            <w:r>
              <w:rPr>
                <w:rFonts w:ascii="仿宋_GB2312" w:hAnsi="仿宋_GB2312" w:cs="仿宋_GB2312" w:eastAsia="仿宋_GB2312"/>
              </w:rPr>
              <w:t>）</w:t>
            </w:r>
            <w:r>
              <w:rPr>
                <w:rFonts w:ascii="仿宋_GB2312" w:hAnsi="仿宋_GB2312" w:cs="仿宋_GB2312" w:eastAsia="仿宋_GB2312"/>
              </w:rPr>
              <w:t>；</w:t>
            </w:r>
          </w:p>
          <w:p>
            <w:pPr>
              <w:pStyle w:val="null3"/>
            </w:pPr>
            <w:r>
              <w:rPr>
                <w:rFonts w:ascii="仿宋_GB2312" w:hAnsi="仿宋_GB2312" w:cs="仿宋_GB2312" w:eastAsia="仿宋_GB2312"/>
              </w:rPr>
              <w:t>▲3</w:t>
            </w:r>
            <w:r>
              <w:rPr>
                <w:rFonts w:ascii="仿宋_GB2312" w:hAnsi="仿宋_GB2312" w:cs="仿宋_GB2312" w:eastAsia="仿宋_GB2312"/>
              </w:rPr>
              <w:t>.</w:t>
            </w:r>
            <w:r>
              <w:rPr>
                <w:rFonts w:ascii="仿宋_GB2312" w:hAnsi="仿宋_GB2312" w:cs="仿宋_GB2312" w:eastAsia="仿宋_GB2312"/>
              </w:rPr>
              <w:t>自动调节水头范围：</w:t>
            </w:r>
            <w:r>
              <w:rPr>
                <w:rFonts w:ascii="仿宋_GB2312" w:hAnsi="仿宋_GB2312" w:cs="仿宋_GB2312" w:eastAsia="仿宋_GB2312"/>
              </w:rPr>
              <w:t>3.0m～5.0m，</w:t>
            </w:r>
          </w:p>
          <w:p>
            <w:pPr>
              <w:pStyle w:val="null3"/>
            </w:pPr>
            <w:r>
              <w:rPr>
                <w:rFonts w:ascii="仿宋_GB2312" w:hAnsi="仿宋_GB2312" w:cs="仿宋_GB2312" w:eastAsia="仿宋_GB2312"/>
              </w:rPr>
              <w:t>4</w:t>
            </w:r>
            <w:r>
              <w:rPr>
                <w:rFonts w:ascii="仿宋_GB2312" w:hAnsi="仿宋_GB2312" w:cs="仿宋_GB2312" w:eastAsia="仿宋_GB2312"/>
              </w:rPr>
              <w:t>.</w:t>
            </w:r>
            <w:r>
              <w:rPr>
                <w:rFonts w:ascii="仿宋_GB2312" w:hAnsi="仿宋_GB2312" w:cs="仿宋_GB2312" w:eastAsia="仿宋_GB2312"/>
              </w:rPr>
              <w:t>水头调节方式：溢流堰高度或支架调节等方式自动调节；</w:t>
            </w:r>
          </w:p>
          <w:p>
            <w:pPr>
              <w:pStyle w:val="null3"/>
            </w:pPr>
            <w:r>
              <w:rPr>
                <w:rFonts w:ascii="仿宋_GB2312" w:hAnsi="仿宋_GB2312" w:cs="仿宋_GB2312" w:eastAsia="仿宋_GB2312"/>
              </w:rPr>
              <w:t>5</w:t>
            </w:r>
            <w:r>
              <w:rPr>
                <w:rFonts w:ascii="仿宋_GB2312" w:hAnsi="仿宋_GB2312" w:cs="仿宋_GB2312" w:eastAsia="仿宋_GB2312"/>
              </w:rPr>
              <w:t>.</w:t>
            </w:r>
            <w:r>
              <w:rPr>
                <w:rFonts w:ascii="仿宋_GB2312" w:hAnsi="仿宋_GB2312" w:cs="仿宋_GB2312" w:eastAsia="仿宋_GB2312"/>
              </w:rPr>
              <w:t>水头范围控制精度：</w:t>
            </w:r>
            <w:r>
              <w:rPr>
                <w:rFonts w:ascii="仿宋_GB2312" w:hAnsi="仿宋_GB2312" w:cs="仿宋_GB2312" w:eastAsia="仿宋_GB2312"/>
              </w:rPr>
              <w:t>≤</w:t>
            </w:r>
            <w:r>
              <w:rPr>
                <w:rFonts w:ascii="仿宋_GB2312" w:hAnsi="仿宋_GB2312" w:cs="仿宋_GB2312" w:eastAsia="仿宋_GB2312"/>
              </w:rPr>
              <w:t>±5mm；</w:t>
            </w:r>
          </w:p>
          <w:p>
            <w:pPr>
              <w:pStyle w:val="null3"/>
            </w:pPr>
            <w:r>
              <w:rPr>
                <w:rFonts w:ascii="仿宋_GB2312" w:hAnsi="仿宋_GB2312" w:cs="仿宋_GB2312" w:eastAsia="仿宋_GB2312"/>
              </w:rPr>
              <w:t>6</w:t>
            </w:r>
            <w:r>
              <w:rPr>
                <w:rFonts w:ascii="仿宋_GB2312" w:hAnsi="仿宋_GB2312" w:cs="仿宋_GB2312" w:eastAsia="仿宋_GB2312"/>
              </w:rPr>
              <w:t>.</w:t>
            </w:r>
            <w:r>
              <w:rPr>
                <w:rFonts w:ascii="仿宋_GB2312" w:hAnsi="仿宋_GB2312" w:cs="仿宋_GB2312" w:eastAsia="仿宋_GB2312"/>
              </w:rPr>
              <w:t>极限限位</w:t>
            </w:r>
            <w:r>
              <w:rPr>
                <w:rFonts w:ascii="仿宋_GB2312" w:hAnsi="仿宋_GB2312" w:cs="仿宋_GB2312" w:eastAsia="仿宋_GB2312"/>
              </w:rPr>
              <w:t>功能</w:t>
            </w:r>
            <w:r>
              <w:rPr>
                <w:rFonts w:ascii="仿宋_GB2312" w:hAnsi="仿宋_GB2312" w:cs="仿宋_GB2312" w:eastAsia="仿宋_GB2312"/>
              </w:rPr>
              <w:t>：上下双限位，防止超行程；</w:t>
            </w:r>
          </w:p>
          <w:p>
            <w:pPr>
              <w:pStyle w:val="null3"/>
            </w:pPr>
            <w:r>
              <w:rPr>
                <w:rFonts w:ascii="仿宋_GB2312" w:hAnsi="仿宋_GB2312" w:cs="仿宋_GB2312" w:eastAsia="仿宋_GB2312"/>
              </w:rPr>
              <w:t>7.溢流能力：≥80L/s，确保超流量时安全泄流。</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rPr>
              <w:t>水泵系统</w:t>
            </w:r>
            <w:r>
              <w:rPr>
                <w:rFonts w:ascii="仿宋_GB2312" w:hAnsi="仿宋_GB2312" w:cs="仿宋_GB2312" w:eastAsia="仿宋_GB2312"/>
              </w:rPr>
              <w:t>1套：</w:t>
            </w:r>
          </w:p>
          <w:p>
            <w:pPr>
              <w:pStyle w:val="null3"/>
            </w:pPr>
            <w:r>
              <w:rPr>
                <w:rFonts w:ascii="仿宋_GB2312" w:hAnsi="仿宋_GB2312" w:cs="仿宋_GB2312" w:eastAsia="仿宋_GB2312"/>
              </w:rPr>
              <w:t>1.</w:t>
            </w:r>
            <w:r>
              <w:rPr>
                <w:rFonts w:ascii="仿宋_GB2312" w:hAnsi="仿宋_GB2312" w:cs="仿宋_GB2312" w:eastAsia="仿宋_GB2312"/>
              </w:rPr>
              <w:t>类型：变频离心泵（功率</w:t>
            </w:r>
            <w:r>
              <w:rPr>
                <w:rFonts w:ascii="仿宋_GB2312" w:hAnsi="仿宋_GB2312" w:cs="仿宋_GB2312" w:eastAsia="仿宋_GB2312"/>
              </w:rPr>
              <w:t>≥10kw，泵出入口管段直径≥DN150,管段长度≥5m，材质Q235B）；</w:t>
            </w:r>
          </w:p>
          <w:p>
            <w:pPr>
              <w:pStyle w:val="null3"/>
            </w:pPr>
            <w:r>
              <w:rPr>
                <w:rFonts w:ascii="仿宋_GB2312" w:hAnsi="仿宋_GB2312" w:cs="仿宋_GB2312" w:eastAsia="仿宋_GB2312"/>
              </w:rPr>
              <w:t>▲2</w:t>
            </w:r>
            <w:r>
              <w:rPr>
                <w:rFonts w:ascii="仿宋_GB2312" w:hAnsi="仿宋_GB2312" w:cs="仿宋_GB2312" w:eastAsia="仿宋_GB2312"/>
              </w:rPr>
              <w:t>.</w:t>
            </w:r>
            <w:r>
              <w:rPr>
                <w:rFonts w:ascii="仿宋_GB2312" w:hAnsi="仿宋_GB2312" w:cs="仿宋_GB2312" w:eastAsia="仿宋_GB2312"/>
              </w:rPr>
              <w:t>流量范围：最大流量</w:t>
            </w:r>
            <w:r>
              <w:rPr>
                <w:rFonts w:ascii="仿宋_GB2312" w:hAnsi="仿宋_GB2312" w:cs="仿宋_GB2312" w:eastAsia="仿宋_GB2312"/>
              </w:rPr>
              <w:t>≥80L/s（变频调节）；</w:t>
            </w:r>
          </w:p>
          <w:p>
            <w:pPr>
              <w:pStyle w:val="null3"/>
            </w:pPr>
            <w:r>
              <w:rPr>
                <w:rFonts w:ascii="仿宋_GB2312" w:hAnsi="仿宋_GB2312" w:cs="仿宋_GB2312" w:eastAsia="仿宋_GB2312"/>
              </w:rPr>
              <w:t>▲3</w:t>
            </w:r>
            <w:r>
              <w:rPr>
                <w:rFonts w:ascii="仿宋_GB2312" w:hAnsi="仿宋_GB2312" w:cs="仿宋_GB2312" w:eastAsia="仿宋_GB2312"/>
              </w:rPr>
              <w:t>.</w:t>
            </w:r>
            <w:r>
              <w:rPr>
                <w:rFonts w:ascii="仿宋_GB2312" w:hAnsi="仿宋_GB2312" w:cs="仿宋_GB2312" w:eastAsia="仿宋_GB2312"/>
              </w:rPr>
              <w:t>扬程：</w:t>
            </w:r>
            <w:r>
              <w:rPr>
                <w:rFonts w:ascii="仿宋_GB2312" w:hAnsi="仿宋_GB2312" w:cs="仿宋_GB2312" w:eastAsia="仿宋_GB2312"/>
              </w:rPr>
              <w:t>≥8m（满足最高水头</w:t>
            </w:r>
            <w:r>
              <w:rPr>
                <w:rFonts w:ascii="仿宋_GB2312" w:hAnsi="仿宋_GB2312" w:cs="仿宋_GB2312" w:eastAsia="仿宋_GB2312"/>
              </w:rPr>
              <w:t>运行</w:t>
            </w:r>
            <w:r>
              <w:rPr>
                <w:rFonts w:ascii="仿宋_GB2312" w:hAnsi="仿宋_GB2312" w:cs="仿宋_GB2312" w:eastAsia="仿宋_GB2312"/>
              </w:rPr>
              <w:t>需求）</w:t>
            </w:r>
            <w:r>
              <w:rPr>
                <w:rFonts w:ascii="仿宋_GB2312" w:hAnsi="仿宋_GB2312" w:cs="仿宋_GB2312" w:eastAsia="仿宋_GB2312"/>
              </w:rPr>
              <w:t>；</w:t>
            </w:r>
          </w:p>
          <w:p>
            <w:pPr>
              <w:pStyle w:val="null3"/>
            </w:pPr>
            <w:r>
              <w:rPr>
                <w:rFonts w:ascii="仿宋_GB2312" w:hAnsi="仿宋_GB2312" w:cs="仿宋_GB2312" w:eastAsia="仿宋_GB2312"/>
              </w:rPr>
              <w:t>4</w:t>
            </w:r>
            <w:r>
              <w:rPr>
                <w:rFonts w:ascii="仿宋_GB2312" w:hAnsi="仿宋_GB2312" w:cs="仿宋_GB2312" w:eastAsia="仿宋_GB2312"/>
              </w:rPr>
              <w:t>.</w:t>
            </w:r>
            <w:r>
              <w:rPr>
                <w:rFonts w:ascii="仿宋_GB2312" w:hAnsi="仿宋_GB2312" w:cs="仿宋_GB2312" w:eastAsia="仿宋_GB2312"/>
              </w:rPr>
              <w:t>流量控制精度：流量</w:t>
            </w:r>
            <w:r>
              <w:rPr>
                <w:rFonts w:ascii="仿宋_GB2312" w:hAnsi="仿宋_GB2312" w:cs="仿宋_GB2312" w:eastAsia="仿宋_GB2312"/>
              </w:rPr>
              <w:t>8L/s</w:t>
            </w:r>
            <w:r>
              <w:rPr>
                <w:rFonts w:ascii="仿宋_GB2312" w:hAnsi="仿宋_GB2312" w:cs="仿宋_GB2312" w:eastAsia="仿宋_GB2312"/>
              </w:rPr>
              <w:t>～</w:t>
            </w:r>
            <w:r>
              <w:rPr>
                <w:rFonts w:ascii="仿宋_GB2312" w:hAnsi="仿宋_GB2312" w:cs="仿宋_GB2312" w:eastAsia="仿宋_GB2312"/>
              </w:rPr>
              <w:t>80L/s区间，精度</w:t>
            </w:r>
            <w:r>
              <w:rPr>
                <w:rFonts w:ascii="仿宋_GB2312" w:hAnsi="仿宋_GB2312" w:cs="仿宋_GB2312" w:eastAsia="仿宋_GB2312"/>
              </w:rPr>
              <w:t>≤</w:t>
            </w:r>
            <w:r>
              <w:rPr>
                <w:rFonts w:ascii="仿宋_GB2312" w:hAnsi="仿宋_GB2312" w:cs="仿宋_GB2312" w:eastAsia="仿宋_GB2312"/>
              </w:rPr>
              <w:t>±0.5%；</w:t>
            </w:r>
          </w:p>
          <w:p>
            <w:pPr>
              <w:pStyle w:val="null3"/>
            </w:pPr>
            <w:r>
              <w:rPr>
                <w:rFonts w:ascii="仿宋_GB2312" w:hAnsi="仿宋_GB2312" w:cs="仿宋_GB2312" w:eastAsia="仿宋_GB2312"/>
              </w:rPr>
              <w:t>5</w:t>
            </w:r>
            <w:r>
              <w:rPr>
                <w:rFonts w:ascii="仿宋_GB2312" w:hAnsi="仿宋_GB2312" w:cs="仿宋_GB2312" w:eastAsia="仿宋_GB2312"/>
              </w:rPr>
              <w:t>.</w:t>
            </w:r>
            <w:r>
              <w:rPr>
                <w:rFonts w:ascii="仿宋_GB2312" w:hAnsi="仿宋_GB2312" w:cs="仿宋_GB2312" w:eastAsia="仿宋_GB2312"/>
              </w:rPr>
              <w:t>闭环控制：硬件设备由软件同步控制，根据反馈信号调节；</w:t>
            </w:r>
          </w:p>
          <w:p>
            <w:pPr>
              <w:pStyle w:val="null3"/>
            </w:pPr>
            <w:r>
              <w:rPr>
                <w:rFonts w:ascii="仿宋_GB2312" w:hAnsi="仿宋_GB2312" w:cs="仿宋_GB2312" w:eastAsia="仿宋_GB2312"/>
              </w:rPr>
              <w:t>6</w:t>
            </w:r>
            <w:r>
              <w:rPr>
                <w:rFonts w:ascii="仿宋_GB2312" w:hAnsi="仿宋_GB2312" w:cs="仿宋_GB2312" w:eastAsia="仿宋_GB2312"/>
              </w:rPr>
              <w:t>.</w:t>
            </w:r>
            <w:r>
              <w:rPr>
                <w:rFonts w:ascii="仿宋_GB2312" w:hAnsi="仿宋_GB2312" w:cs="仿宋_GB2312" w:eastAsia="仿宋_GB2312"/>
              </w:rPr>
              <w:t>变频控制：最小分辨率</w:t>
            </w:r>
            <w:r>
              <w:rPr>
                <w:rFonts w:ascii="仿宋_GB2312" w:hAnsi="仿宋_GB2312" w:cs="仿宋_GB2312" w:eastAsia="仿宋_GB2312"/>
              </w:rPr>
              <w:t>0.01Hz，频率调节范围0.01Hz</w:t>
            </w:r>
            <w:r>
              <w:rPr>
                <w:rFonts w:ascii="仿宋_GB2312" w:hAnsi="仿宋_GB2312" w:cs="仿宋_GB2312" w:eastAsia="仿宋_GB2312"/>
              </w:rPr>
              <w:t>～</w:t>
            </w:r>
            <w:r>
              <w:rPr>
                <w:rFonts w:ascii="仿宋_GB2312" w:hAnsi="仿宋_GB2312" w:cs="仿宋_GB2312" w:eastAsia="仿宋_GB2312"/>
              </w:rPr>
              <w:t>50Hz；</w:t>
            </w:r>
          </w:p>
          <w:p>
            <w:pPr>
              <w:pStyle w:val="null3"/>
            </w:pPr>
            <w:r>
              <w:rPr>
                <w:rFonts w:ascii="仿宋_GB2312" w:hAnsi="仿宋_GB2312" w:cs="仿宋_GB2312" w:eastAsia="仿宋_GB2312"/>
              </w:rPr>
              <w:t>7</w:t>
            </w:r>
            <w:r>
              <w:rPr>
                <w:rFonts w:ascii="仿宋_GB2312" w:hAnsi="仿宋_GB2312" w:cs="仿宋_GB2312" w:eastAsia="仿宋_GB2312"/>
              </w:rPr>
              <w:t>.</w:t>
            </w:r>
            <w:r>
              <w:rPr>
                <w:rFonts w:ascii="仿宋_GB2312" w:hAnsi="仿宋_GB2312" w:cs="仿宋_GB2312" w:eastAsia="仿宋_GB2312"/>
              </w:rPr>
              <w:t>智能调控：根据实际情况对多个水泵进行动态优化分配，满足恒定流与非恒定流的实验需要；</w:t>
            </w:r>
          </w:p>
          <w:p>
            <w:pPr>
              <w:pStyle w:val="null3"/>
            </w:pPr>
            <w:r>
              <w:rPr>
                <w:rFonts w:ascii="仿宋_GB2312" w:hAnsi="仿宋_GB2312" w:cs="仿宋_GB2312" w:eastAsia="仿宋_GB2312"/>
              </w:rPr>
              <w:t>8</w:t>
            </w:r>
            <w:r>
              <w:rPr>
                <w:rFonts w:ascii="仿宋_GB2312" w:hAnsi="仿宋_GB2312" w:cs="仿宋_GB2312" w:eastAsia="仿宋_GB2312"/>
              </w:rPr>
              <w:t>.</w:t>
            </w:r>
            <w:r>
              <w:rPr>
                <w:rFonts w:ascii="仿宋_GB2312" w:hAnsi="仿宋_GB2312" w:cs="仿宋_GB2312" w:eastAsia="仿宋_GB2312"/>
              </w:rPr>
              <w:t>阀门控制：调节水泵盲区内的流量，并防止回流、保证流量计满管；</w:t>
            </w:r>
          </w:p>
          <w:p>
            <w:pPr>
              <w:pStyle w:val="null3"/>
            </w:pPr>
            <w:r>
              <w:rPr>
                <w:rFonts w:ascii="仿宋_GB2312" w:hAnsi="仿宋_GB2312" w:cs="仿宋_GB2312" w:eastAsia="仿宋_GB2312"/>
              </w:rPr>
              <w:t>9.实验数据的实时显示：实验数据的存储与导出，制图、分析、统计功能。</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pPr>
            <w:r>
              <w:rPr>
                <w:rFonts w:ascii="仿宋_GB2312" w:hAnsi="仿宋_GB2312" w:cs="仿宋_GB2312" w:eastAsia="仿宋_GB2312"/>
              </w:rPr>
              <w:t>流量与压力监测</w:t>
            </w:r>
            <w:r>
              <w:rPr>
                <w:rFonts w:ascii="仿宋_GB2312" w:hAnsi="仿宋_GB2312" w:cs="仿宋_GB2312" w:eastAsia="仿宋_GB2312"/>
              </w:rPr>
              <w:t>1套：</w:t>
            </w:r>
          </w:p>
          <w:p>
            <w:pPr>
              <w:pStyle w:val="null3"/>
            </w:pPr>
            <w:r>
              <w:rPr>
                <w:rFonts w:ascii="仿宋_GB2312" w:hAnsi="仿宋_GB2312" w:cs="仿宋_GB2312" w:eastAsia="仿宋_GB2312"/>
              </w:rPr>
              <w:t>▲1</w:t>
            </w:r>
            <w:r>
              <w:rPr>
                <w:rFonts w:ascii="仿宋_GB2312" w:hAnsi="仿宋_GB2312" w:cs="仿宋_GB2312" w:eastAsia="仿宋_GB2312"/>
              </w:rPr>
              <w:t>.</w:t>
            </w:r>
            <w:r>
              <w:rPr>
                <w:rFonts w:ascii="仿宋_GB2312" w:hAnsi="仿宋_GB2312" w:cs="仿宋_GB2312" w:eastAsia="仿宋_GB2312"/>
              </w:rPr>
              <w:t>电磁流量计：量程：</w:t>
            </w:r>
            <w:r>
              <w:rPr>
                <w:rFonts w:ascii="仿宋_GB2312" w:hAnsi="仿宋_GB2312" w:cs="仿宋_GB2312" w:eastAsia="仿宋_GB2312"/>
              </w:rPr>
              <w:t>≥80L/s；精度：0.5级；材质：碳钢；管径：≥DN150；</w:t>
            </w:r>
          </w:p>
          <w:p>
            <w:pPr>
              <w:pStyle w:val="null3"/>
            </w:pPr>
            <w:r>
              <w:rPr>
                <w:rFonts w:ascii="仿宋_GB2312" w:hAnsi="仿宋_GB2312" w:cs="仿宋_GB2312" w:eastAsia="仿宋_GB2312"/>
              </w:rPr>
              <w:t>2</w:t>
            </w:r>
            <w:r>
              <w:rPr>
                <w:rFonts w:ascii="仿宋_GB2312" w:hAnsi="仿宋_GB2312" w:cs="仿宋_GB2312" w:eastAsia="仿宋_GB2312"/>
              </w:rPr>
              <w:t>.</w:t>
            </w:r>
            <w:r>
              <w:rPr>
                <w:rFonts w:ascii="仿宋_GB2312" w:hAnsi="仿宋_GB2312" w:cs="仿宋_GB2312" w:eastAsia="仿宋_GB2312"/>
              </w:rPr>
              <w:t>压力表（配备压力传感器系统）：量程：</w:t>
            </w:r>
            <w:r>
              <w:rPr>
                <w:rFonts w:ascii="仿宋_GB2312" w:hAnsi="仿宋_GB2312" w:cs="仿宋_GB2312" w:eastAsia="仿宋_GB2312"/>
              </w:rPr>
              <w:t>0～1.0 MPa，精度：0.5级；</w:t>
            </w:r>
          </w:p>
          <w:p>
            <w:pPr>
              <w:pStyle w:val="null3"/>
            </w:pPr>
            <w:r>
              <w:rPr>
                <w:rFonts w:ascii="仿宋_GB2312" w:hAnsi="仿宋_GB2312" w:cs="仿宋_GB2312" w:eastAsia="仿宋_GB2312"/>
              </w:rPr>
              <w:t>3</w:t>
            </w:r>
            <w:r>
              <w:rPr>
                <w:rFonts w:ascii="仿宋_GB2312" w:hAnsi="仿宋_GB2312" w:cs="仿宋_GB2312" w:eastAsia="仿宋_GB2312"/>
              </w:rPr>
              <w:t>.</w:t>
            </w:r>
            <w:r>
              <w:rPr>
                <w:rFonts w:ascii="仿宋_GB2312" w:hAnsi="仿宋_GB2312" w:cs="仿宋_GB2312" w:eastAsia="仿宋_GB2312"/>
              </w:rPr>
              <w:t>控制阀：类型：电动调节阀（或伺服球阀）；调节精度：</w:t>
            </w:r>
            <w:r>
              <w:rPr>
                <w:rFonts w:ascii="仿宋_GB2312" w:hAnsi="仿宋_GB2312" w:cs="仿宋_GB2312" w:eastAsia="仿宋_GB2312"/>
              </w:rPr>
              <w:t>≤0.5L/s；公称通径：≥DN150；响应时间：≤ 60秒（从全关到全开)；</w:t>
            </w:r>
          </w:p>
          <w:p>
            <w:pPr>
              <w:pStyle w:val="null3"/>
            </w:pPr>
            <w:r>
              <w:rPr>
                <w:rFonts w:ascii="仿宋_GB2312" w:hAnsi="仿宋_GB2312" w:cs="仿宋_GB2312" w:eastAsia="仿宋_GB2312"/>
                <w:sz w:val="20"/>
              </w:rPr>
              <w:t>4</w:t>
            </w:r>
            <w:r>
              <w:rPr>
                <w:rFonts w:ascii="仿宋_GB2312" w:hAnsi="仿宋_GB2312" w:cs="仿宋_GB2312" w:eastAsia="仿宋_GB2312"/>
                <w:sz w:val="20"/>
              </w:rPr>
              <w:t>.</w:t>
            </w:r>
            <w:r>
              <w:rPr>
                <w:rFonts w:ascii="仿宋_GB2312" w:hAnsi="仿宋_GB2312" w:cs="仿宋_GB2312" w:eastAsia="仿宋_GB2312"/>
                <w:sz w:val="20"/>
              </w:rPr>
              <w:t>智能采集终端：传感器数据实时采集</w:t>
            </w:r>
            <w:r>
              <w:rPr>
                <w:rFonts w:ascii="仿宋_GB2312" w:hAnsi="仿宋_GB2312" w:cs="仿宋_GB2312" w:eastAsia="仿宋_GB2312"/>
                <w:sz w:val="20"/>
              </w:rPr>
              <w:t>功能</w:t>
            </w:r>
            <w:r>
              <w:rPr>
                <w:rFonts w:ascii="仿宋_GB2312" w:hAnsi="仿宋_GB2312" w:cs="仿宋_GB2312" w:eastAsia="仿宋_GB2312"/>
                <w:sz w:val="20"/>
              </w:rPr>
              <w:t>,采样频率≥1Hz。数据存储存储时间≥30天。</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pPr>
            <w:r>
              <w:rPr>
                <w:rFonts w:ascii="仿宋_GB2312" w:hAnsi="仿宋_GB2312" w:cs="仿宋_GB2312" w:eastAsia="仿宋_GB2312"/>
              </w:rPr>
              <w:t>辅助设施：</w:t>
            </w:r>
          </w:p>
          <w:p>
            <w:pPr>
              <w:pStyle w:val="null3"/>
            </w:pPr>
            <w:r>
              <w:rPr>
                <w:rFonts w:ascii="仿宋_GB2312" w:hAnsi="仿宋_GB2312" w:cs="仿宋_GB2312" w:eastAsia="仿宋_GB2312"/>
              </w:rPr>
              <w:t>1</w:t>
            </w:r>
            <w:r>
              <w:rPr>
                <w:rFonts w:ascii="仿宋_GB2312" w:hAnsi="仿宋_GB2312" w:cs="仿宋_GB2312" w:eastAsia="仿宋_GB2312"/>
              </w:rPr>
              <w:t>.</w:t>
            </w:r>
            <w:r>
              <w:rPr>
                <w:rFonts w:ascii="仿宋_GB2312" w:hAnsi="仿宋_GB2312" w:cs="仿宋_GB2312" w:eastAsia="仿宋_GB2312"/>
              </w:rPr>
              <w:t>供水及回水管道：材质为钢材，管道厚度</w:t>
            </w:r>
            <w:r>
              <w:rPr>
                <w:rFonts w:ascii="仿宋_GB2312" w:hAnsi="仿宋_GB2312" w:cs="仿宋_GB2312" w:eastAsia="仿宋_GB2312"/>
              </w:rPr>
              <w:t>≥4mm，强度不低于Q235B钢（</w:t>
            </w:r>
            <w:r>
              <w:rPr>
                <w:rFonts w:ascii="仿宋_GB2312" w:hAnsi="仿宋_GB2312" w:cs="仿宋_GB2312" w:eastAsia="仿宋_GB2312"/>
              </w:rPr>
              <w:t>做</w:t>
            </w:r>
            <w:r>
              <w:rPr>
                <w:rFonts w:ascii="仿宋_GB2312" w:hAnsi="仿宋_GB2312" w:cs="仿宋_GB2312" w:eastAsia="仿宋_GB2312"/>
              </w:rPr>
              <w:t>防腐</w:t>
            </w:r>
            <w:r>
              <w:rPr>
                <w:rFonts w:ascii="仿宋_GB2312" w:hAnsi="仿宋_GB2312" w:cs="仿宋_GB2312" w:eastAsia="仿宋_GB2312"/>
              </w:rPr>
              <w:t>处理</w:t>
            </w:r>
            <w:r>
              <w:rPr>
                <w:rFonts w:ascii="仿宋_GB2312" w:hAnsi="仿宋_GB2312" w:cs="仿宋_GB2312" w:eastAsia="仿宋_GB2312"/>
              </w:rPr>
              <w:t>），</w:t>
            </w:r>
            <w:r>
              <w:rPr>
                <w:rFonts w:ascii="仿宋_GB2312" w:hAnsi="仿宋_GB2312" w:cs="仿宋_GB2312" w:eastAsia="仿宋_GB2312"/>
              </w:rPr>
              <w:t>回水通过管道回</w:t>
            </w:r>
            <w:r>
              <w:rPr>
                <w:rFonts w:ascii="仿宋_GB2312" w:hAnsi="仿宋_GB2312" w:cs="仿宋_GB2312" w:eastAsia="仿宋_GB2312"/>
              </w:rPr>
              <w:t>流</w:t>
            </w:r>
            <w:r>
              <w:rPr>
                <w:rFonts w:ascii="仿宋_GB2312" w:hAnsi="仿宋_GB2312" w:cs="仿宋_GB2312" w:eastAsia="仿宋_GB2312"/>
              </w:rPr>
              <w:t>至水池</w:t>
            </w:r>
            <w:r>
              <w:rPr>
                <w:rFonts w:ascii="仿宋_GB2312" w:hAnsi="仿宋_GB2312" w:cs="仿宋_GB2312" w:eastAsia="仿宋_GB2312"/>
              </w:rPr>
              <w:t>；</w:t>
            </w:r>
          </w:p>
          <w:p>
            <w:pPr>
              <w:pStyle w:val="null3"/>
            </w:pPr>
            <w:r>
              <w:rPr>
                <w:rFonts w:ascii="仿宋_GB2312" w:hAnsi="仿宋_GB2312" w:cs="仿宋_GB2312" w:eastAsia="仿宋_GB2312"/>
              </w:rPr>
              <w:t>2</w:t>
            </w:r>
            <w:r>
              <w:rPr>
                <w:rFonts w:ascii="仿宋_GB2312" w:hAnsi="仿宋_GB2312" w:cs="仿宋_GB2312" w:eastAsia="仿宋_GB2312"/>
              </w:rPr>
              <w:t>.</w:t>
            </w:r>
            <w:r>
              <w:rPr>
                <w:rFonts w:ascii="仿宋_GB2312" w:hAnsi="仿宋_GB2312" w:cs="仿宋_GB2312" w:eastAsia="仿宋_GB2312"/>
              </w:rPr>
              <w:t>掺气装置：可调式文丘里管</w:t>
            </w:r>
            <w:r>
              <w:rPr>
                <w:rFonts w:ascii="仿宋_GB2312" w:hAnsi="仿宋_GB2312" w:cs="仿宋_GB2312" w:eastAsia="仿宋_GB2312"/>
              </w:rPr>
              <w:t>，公称直径范围为</w:t>
            </w:r>
            <w:r>
              <w:rPr>
                <w:rFonts w:ascii="仿宋_GB2312" w:hAnsi="仿宋_GB2312" w:cs="仿宋_GB2312" w:eastAsia="仿宋_GB2312"/>
                <w:sz w:val="20"/>
              </w:rPr>
              <w:t>DN50～DN</w:t>
            </w:r>
            <w:r>
              <w:rPr>
                <w:rFonts w:ascii="仿宋_GB2312" w:hAnsi="仿宋_GB2312" w:cs="仿宋_GB2312" w:eastAsia="仿宋_GB2312"/>
                <w:sz w:val="20"/>
              </w:rPr>
              <w:t>1</w:t>
            </w:r>
            <w:r>
              <w:rPr>
                <w:rFonts w:ascii="仿宋_GB2312" w:hAnsi="仿宋_GB2312" w:cs="仿宋_GB2312" w:eastAsia="仿宋_GB2312"/>
                <w:sz w:val="20"/>
              </w:rPr>
              <w:t>5</w:t>
            </w:r>
            <w:r>
              <w:rPr>
                <w:rFonts w:ascii="仿宋_GB2312" w:hAnsi="仿宋_GB2312" w:cs="仿宋_GB2312" w:eastAsia="仿宋_GB2312"/>
                <w:sz w:val="20"/>
              </w:rPr>
              <w:t>0</w:t>
            </w:r>
            <w:r>
              <w:rPr>
                <w:rFonts w:ascii="仿宋_GB2312" w:hAnsi="仿宋_GB2312" w:cs="仿宋_GB2312" w:eastAsia="仿宋_GB2312"/>
                <w:sz w:val="20"/>
              </w:rPr>
              <w:t>，</w:t>
            </w:r>
            <w:r>
              <w:rPr>
                <w:rFonts w:ascii="仿宋_GB2312" w:hAnsi="仿宋_GB2312" w:cs="仿宋_GB2312" w:eastAsia="仿宋_GB2312"/>
                <w:sz w:val="20"/>
              </w:rPr>
              <w:t>根据系统流量匹配，可现场调节或更换喉部组件</w:t>
            </w:r>
            <w:r>
              <w:rPr>
                <w:rFonts w:ascii="仿宋_GB2312" w:hAnsi="仿宋_GB2312" w:cs="仿宋_GB2312" w:eastAsia="仿宋_GB2312"/>
              </w:rPr>
              <w:t>，掺气率控制范围为</w:t>
            </w:r>
            <w:r>
              <w:rPr>
                <w:rFonts w:ascii="仿宋_GB2312" w:hAnsi="仿宋_GB2312" w:cs="仿宋_GB2312" w:eastAsia="仿宋_GB2312"/>
                <w:sz w:val="20"/>
              </w:rPr>
              <w:t>5%～</w:t>
            </w:r>
            <w:r>
              <w:rPr>
                <w:rFonts w:ascii="仿宋_GB2312" w:hAnsi="仿宋_GB2312" w:cs="仿宋_GB2312" w:eastAsia="仿宋_GB2312"/>
                <w:sz w:val="20"/>
              </w:rPr>
              <w:t>20</w:t>
            </w:r>
            <w:r>
              <w:rPr>
                <w:rFonts w:ascii="仿宋_GB2312" w:hAnsi="仿宋_GB2312" w:cs="仿宋_GB2312" w:eastAsia="仿宋_GB2312"/>
                <w:sz w:val="20"/>
              </w:rPr>
              <w:t>%（体积比）</w:t>
            </w:r>
            <w:r>
              <w:rPr>
                <w:rFonts w:ascii="仿宋_GB2312" w:hAnsi="仿宋_GB2312" w:cs="仿宋_GB2312" w:eastAsia="仿宋_GB2312"/>
                <w:sz w:val="20"/>
              </w:rPr>
              <w:t>；</w:t>
            </w:r>
          </w:p>
          <w:p>
            <w:pPr>
              <w:pStyle w:val="null3"/>
            </w:pPr>
            <w:r>
              <w:rPr>
                <w:rFonts w:ascii="仿宋_GB2312" w:hAnsi="仿宋_GB2312" w:cs="仿宋_GB2312" w:eastAsia="仿宋_GB2312"/>
                <w:sz w:val="20"/>
              </w:rPr>
              <w:t>3.消能模块：可更换式消能结构，消能效率≥80%；</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标的名称：高精度声学点流速测试系统</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采购清单及产品数量：</w:t>
            </w:r>
          </w:p>
          <w:tbl>
            <w:tblPr>
              <w:tblInd w:type="dxa" w:w="120"/>
              <w:tblBorders>
                <w:top w:val="none" w:color="000000" w:sz="4"/>
                <w:left w:val="none" w:color="000000" w:sz="4"/>
                <w:bottom w:val="none" w:color="000000" w:sz="4"/>
                <w:right w:val="none" w:color="000000" w:sz="4"/>
                <w:insideH w:val="none"/>
                <w:insideV w:val="none"/>
              </w:tblBorders>
            </w:tblPr>
            <w:tblGrid>
              <w:gridCol w:w="408"/>
              <w:gridCol w:w="1291"/>
              <w:gridCol w:w="847"/>
            </w:tblGrid>
            <w:tr>
              <w:tc>
                <w:tcPr>
                  <w:tcW w:type="dxa" w:w="40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序号</w:t>
                  </w:r>
                </w:p>
              </w:tc>
              <w:tc>
                <w:tcPr>
                  <w:tcW w:type="dxa" w:w="129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货物名称</w:t>
                  </w:r>
                </w:p>
              </w:tc>
              <w:tc>
                <w:tcPr>
                  <w:tcW w:type="dxa" w:w="84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数量</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12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数据处理终端</w:t>
                  </w:r>
                </w:p>
              </w:tc>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1台</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c>
                <w:tcPr>
                  <w:tcW w:type="dxa" w:w="12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声学流速探头</w:t>
                  </w:r>
                </w:p>
              </w:tc>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3个</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w:t>
                  </w:r>
                </w:p>
              </w:tc>
              <w:tc>
                <w:tcPr>
                  <w:tcW w:type="dxa" w:w="12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数据分析处理软件</w:t>
                  </w:r>
                </w:p>
              </w:tc>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1套</w:t>
                  </w:r>
                </w:p>
              </w:tc>
            </w:tr>
          </w:tbl>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rPr>
              <w:t>数据处理终端参数：</w:t>
            </w:r>
          </w:p>
          <w:p>
            <w:pPr>
              <w:pStyle w:val="null3"/>
            </w:pPr>
            <w:r>
              <w:rPr>
                <w:rFonts w:ascii="仿宋_GB2312" w:hAnsi="仿宋_GB2312" w:cs="仿宋_GB2312" w:eastAsia="仿宋_GB2312"/>
              </w:rPr>
              <w:t>1.处理能力：内置高性能信号处理器，备实时数据运算与显示</w:t>
            </w:r>
            <w:r>
              <w:rPr>
                <w:rFonts w:ascii="仿宋_GB2312" w:hAnsi="仿宋_GB2312" w:cs="仿宋_GB2312" w:eastAsia="仿宋_GB2312"/>
              </w:rPr>
              <w:t>；</w:t>
            </w:r>
            <w:r>
              <w:rPr>
                <w:rFonts w:ascii="仿宋_GB2312" w:hAnsi="仿宋_GB2312" w:cs="仿宋_GB2312" w:eastAsia="仿宋_GB2312"/>
              </w:rPr>
              <w:t>处理器内存</w:t>
            </w:r>
            <w:r>
              <w:rPr>
                <w:rFonts w:ascii="仿宋_GB2312" w:hAnsi="仿宋_GB2312" w:cs="仿宋_GB2312" w:eastAsia="仿宋_GB2312"/>
              </w:rPr>
              <w:t>≥8GB，显示分辨率≥1920×1080</w:t>
            </w:r>
            <w:r>
              <w:rPr>
                <w:rFonts w:ascii="仿宋_GB2312" w:hAnsi="仿宋_GB2312" w:cs="仿宋_GB2312" w:eastAsia="仿宋_GB2312"/>
              </w:rPr>
              <w:t>；</w:t>
            </w:r>
          </w:p>
          <w:p>
            <w:pPr>
              <w:pStyle w:val="null3"/>
            </w:pPr>
            <w:r>
              <w:rPr>
                <w:rFonts w:ascii="仿宋_GB2312" w:hAnsi="仿宋_GB2312" w:cs="仿宋_GB2312" w:eastAsia="仿宋_GB2312"/>
              </w:rPr>
              <w:t>2.数据接口：千兆以太网口（RJ45）、USB3.0等标准数据接口，</w:t>
            </w:r>
            <w:r>
              <w:rPr>
                <w:rFonts w:ascii="仿宋_GB2312" w:hAnsi="仿宋_GB2312" w:cs="仿宋_GB2312" w:eastAsia="仿宋_GB2312"/>
              </w:rPr>
              <w:t>可</w:t>
            </w:r>
            <w:r>
              <w:rPr>
                <w:rFonts w:ascii="仿宋_GB2312" w:hAnsi="仿宋_GB2312" w:cs="仿宋_GB2312" w:eastAsia="仿宋_GB2312"/>
              </w:rPr>
              <w:t>数据传输和设备控制。有线数据传输距离</w:t>
            </w:r>
            <w:r>
              <w:rPr>
                <w:rFonts w:ascii="仿宋_GB2312" w:hAnsi="仿宋_GB2312" w:cs="仿宋_GB2312" w:eastAsia="仿宋_GB2312"/>
              </w:rPr>
              <w:t>≥10米，支持WiFi6无线传输。</w:t>
            </w:r>
          </w:p>
          <w:p>
            <w:pPr>
              <w:pStyle w:val="null3"/>
            </w:pPr>
            <w:r>
              <w:rPr>
                <w:rFonts w:ascii="仿宋_GB2312" w:hAnsi="仿宋_GB2312" w:cs="仿宋_GB2312" w:eastAsia="仿宋_GB2312"/>
              </w:rPr>
              <w:t>3.电源要求：</w:t>
            </w:r>
            <w:r>
              <w:rPr>
                <w:rFonts w:ascii="仿宋_GB2312" w:hAnsi="仿宋_GB2312" w:cs="仿宋_GB2312" w:eastAsia="仿宋_GB2312"/>
              </w:rPr>
              <w:t>供电电压</w:t>
            </w:r>
            <w:r>
              <w:rPr>
                <w:rFonts w:ascii="仿宋_GB2312" w:hAnsi="仿宋_GB2312" w:cs="仿宋_GB2312" w:eastAsia="仿宋_GB2312"/>
              </w:rPr>
              <w:t>220V AC (±10%)，</w:t>
            </w:r>
            <w:r>
              <w:rPr>
                <w:rFonts w:ascii="仿宋_GB2312" w:hAnsi="仿宋_GB2312" w:cs="仿宋_GB2312" w:eastAsia="仿宋_GB2312"/>
              </w:rPr>
              <w:t>频率</w:t>
            </w:r>
            <w:r>
              <w:rPr>
                <w:rFonts w:ascii="仿宋_GB2312" w:hAnsi="仿宋_GB2312" w:cs="仿宋_GB2312" w:eastAsia="仿宋_GB2312"/>
              </w:rPr>
              <w:t>50Hz。</w:t>
            </w:r>
          </w:p>
          <w:p>
            <w:pPr>
              <w:pStyle w:val="null3"/>
            </w:pPr>
            <w:r>
              <w:rPr>
                <w:rFonts w:ascii="仿宋_GB2312" w:hAnsi="仿宋_GB2312" w:cs="仿宋_GB2312" w:eastAsia="仿宋_GB2312"/>
              </w:rPr>
              <w:t>4.防护等级：主机防护等级≥IP52。</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rPr>
              <w:t>声学流速探头参数：</w:t>
            </w:r>
          </w:p>
          <w:p>
            <w:pPr>
              <w:pStyle w:val="null3"/>
            </w:pPr>
            <w:r>
              <w:rPr>
                <w:rFonts w:ascii="仿宋_GB2312" w:hAnsi="仿宋_GB2312" w:cs="仿宋_GB2312" w:eastAsia="仿宋_GB2312"/>
              </w:rPr>
              <w:t>1.配置数量：声学流速探头3个</w:t>
            </w:r>
            <w:r>
              <w:rPr>
                <w:rFonts w:ascii="仿宋_GB2312" w:hAnsi="仿宋_GB2312" w:cs="仿宋_GB2312" w:eastAsia="仿宋_GB2312"/>
              </w:rPr>
              <w:t>；</w:t>
            </w:r>
          </w:p>
          <w:p>
            <w:pPr>
              <w:pStyle w:val="null3"/>
            </w:pPr>
            <w:r>
              <w:rPr>
                <w:rFonts w:ascii="仿宋_GB2312" w:hAnsi="仿宋_GB2312" w:cs="仿宋_GB2312" w:eastAsia="仿宋_GB2312"/>
              </w:rPr>
              <w:t>2.测量精度：流速测量精度≥0.1cm/s</w:t>
            </w:r>
            <w:r>
              <w:rPr>
                <w:rFonts w:ascii="仿宋_GB2312" w:hAnsi="仿宋_GB2312" w:cs="仿宋_GB2312" w:eastAsia="仿宋_GB2312"/>
              </w:rPr>
              <w:t>；</w:t>
            </w:r>
          </w:p>
          <w:p>
            <w:pPr>
              <w:pStyle w:val="null3"/>
            </w:pPr>
            <w:r>
              <w:rPr>
                <w:rFonts w:ascii="仿宋_GB2312" w:hAnsi="仿宋_GB2312" w:cs="仿宋_GB2312" w:eastAsia="仿宋_GB2312"/>
              </w:rPr>
              <w:t>3.测量范围：流速测量范围≥0.001 m/s ～ 5 m/s</w:t>
            </w:r>
            <w:r>
              <w:rPr>
                <w:rFonts w:ascii="仿宋_GB2312" w:hAnsi="仿宋_GB2312" w:cs="仿宋_GB2312" w:eastAsia="仿宋_GB2312"/>
              </w:rPr>
              <w:t>；</w:t>
            </w:r>
          </w:p>
          <w:p>
            <w:pPr>
              <w:pStyle w:val="null3"/>
            </w:pPr>
            <w:r>
              <w:rPr>
                <w:rFonts w:ascii="仿宋_GB2312" w:hAnsi="仿宋_GB2312" w:cs="仿宋_GB2312" w:eastAsia="仿宋_GB2312"/>
              </w:rPr>
              <w:t>▲4.流速分辨率：≤0.0001 m/s</w:t>
            </w:r>
            <w:r>
              <w:rPr>
                <w:rFonts w:ascii="仿宋_GB2312" w:hAnsi="仿宋_GB2312" w:cs="仿宋_GB2312" w:eastAsia="仿宋_GB2312"/>
              </w:rPr>
              <w:t>；</w:t>
            </w:r>
          </w:p>
          <w:p>
            <w:pPr>
              <w:pStyle w:val="null3"/>
            </w:pPr>
            <w:r>
              <w:rPr>
                <w:rFonts w:ascii="仿宋_GB2312" w:hAnsi="仿宋_GB2312" w:cs="仿宋_GB2312" w:eastAsia="仿宋_GB2312"/>
              </w:rPr>
              <w:t>5.采样频率：最高数据采样频率≥100 Hz</w:t>
            </w:r>
            <w:r>
              <w:rPr>
                <w:rFonts w:ascii="仿宋_GB2312" w:hAnsi="仿宋_GB2312" w:cs="仿宋_GB2312" w:eastAsia="仿宋_GB2312"/>
              </w:rPr>
              <w:t>；</w:t>
            </w:r>
          </w:p>
          <w:p>
            <w:pPr>
              <w:pStyle w:val="null3"/>
            </w:pPr>
            <w:r>
              <w:rPr>
                <w:rFonts w:ascii="仿宋_GB2312" w:hAnsi="仿宋_GB2312" w:cs="仿宋_GB2312" w:eastAsia="仿宋_GB2312"/>
              </w:rPr>
              <w:t>6.倾斜传感器精度：≤1.0°</w:t>
            </w:r>
            <w:r>
              <w:rPr>
                <w:rFonts w:ascii="仿宋_GB2312" w:hAnsi="仿宋_GB2312" w:cs="仿宋_GB2312" w:eastAsia="仿宋_GB2312"/>
              </w:rPr>
              <w:t>；</w:t>
            </w:r>
          </w:p>
          <w:p>
            <w:pPr>
              <w:pStyle w:val="null3"/>
            </w:pPr>
            <w:r>
              <w:rPr>
                <w:rFonts w:ascii="仿宋_GB2312" w:hAnsi="仿宋_GB2312" w:cs="仿宋_GB2312" w:eastAsia="仿宋_GB2312"/>
              </w:rPr>
              <w:t>▲7.流速维度：同时测量并输出三维流速矢量（X, Y, Z方向）</w:t>
            </w:r>
            <w:r>
              <w:rPr>
                <w:rFonts w:ascii="仿宋_GB2312" w:hAnsi="仿宋_GB2312" w:cs="仿宋_GB2312" w:eastAsia="仿宋_GB2312"/>
              </w:rPr>
              <w:t>；</w:t>
            </w:r>
          </w:p>
          <w:p>
            <w:pPr>
              <w:pStyle w:val="null3"/>
            </w:pPr>
            <w:r>
              <w:rPr>
                <w:rFonts w:ascii="仿宋_GB2312" w:hAnsi="仿宋_GB2312" w:cs="仿宋_GB2312" w:eastAsia="仿宋_GB2312"/>
              </w:rPr>
              <w:t>8.工作温度：-10～50℃</w:t>
            </w:r>
            <w:r>
              <w:rPr>
                <w:rFonts w:ascii="仿宋_GB2312" w:hAnsi="仿宋_GB2312" w:cs="仿宋_GB2312" w:eastAsia="仿宋_GB2312"/>
              </w:rPr>
              <w:t>；</w:t>
            </w:r>
          </w:p>
          <w:p>
            <w:pPr>
              <w:pStyle w:val="null3"/>
            </w:pPr>
            <w:r>
              <w:rPr>
                <w:rFonts w:ascii="仿宋_GB2312" w:hAnsi="仿宋_GB2312" w:cs="仿宋_GB2312" w:eastAsia="仿宋_GB2312"/>
              </w:rPr>
              <w:t>▲9.最小工作水深：≤2cm</w:t>
            </w:r>
            <w:r>
              <w:rPr>
                <w:rFonts w:ascii="仿宋_GB2312" w:hAnsi="仿宋_GB2312" w:cs="仿宋_GB2312" w:eastAsia="仿宋_GB2312"/>
              </w:rPr>
              <w:t>；</w:t>
            </w:r>
          </w:p>
          <w:p>
            <w:pPr>
              <w:pStyle w:val="null3"/>
            </w:pPr>
            <w:r>
              <w:rPr>
                <w:rFonts w:ascii="仿宋_GB2312" w:hAnsi="仿宋_GB2312" w:cs="仿宋_GB2312" w:eastAsia="仿宋_GB2312"/>
              </w:rPr>
              <w:t>10.防护等级：探头防水等级≥IP68</w:t>
            </w:r>
            <w:r>
              <w:rPr>
                <w:rFonts w:ascii="仿宋_GB2312" w:hAnsi="仿宋_GB2312" w:cs="仿宋_GB2312" w:eastAsia="仿宋_GB2312"/>
              </w:rPr>
              <w:t>；</w:t>
            </w:r>
          </w:p>
          <w:p>
            <w:pPr>
              <w:pStyle w:val="null3"/>
            </w:pPr>
            <w:r>
              <w:rPr>
                <w:rFonts w:ascii="仿宋_GB2312" w:hAnsi="仿宋_GB2312" w:cs="仿宋_GB2312" w:eastAsia="仿宋_GB2312"/>
              </w:rPr>
              <w:t>11.电缆长度：单个探头标准电缆长度≥10米。</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pPr>
            <w:r>
              <w:rPr>
                <w:rFonts w:ascii="仿宋_GB2312" w:hAnsi="仿宋_GB2312" w:cs="仿宋_GB2312" w:eastAsia="仿宋_GB2312"/>
              </w:rPr>
              <w:t>数据分析处理软件参数：</w:t>
            </w:r>
          </w:p>
          <w:p>
            <w:pPr>
              <w:pStyle w:val="null3"/>
            </w:pPr>
            <w:r>
              <w:rPr>
                <w:rFonts w:ascii="仿宋_GB2312" w:hAnsi="仿宋_GB2312" w:cs="仿宋_GB2312" w:eastAsia="仿宋_GB2312"/>
              </w:rPr>
              <w:t>▲1.实时显示：实时流速数据波形图与数值显示</w:t>
            </w:r>
            <w:r>
              <w:rPr>
                <w:rFonts w:ascii="仿宋_GB2312" w:hAnsi="仿宋_GB2312" w:cs="仿宋_GB2312" w:eastAsia="仿宋_GB2312"/>
              </w:rPr>
              <w:t>；</w:t>
            </w:r>
            <w:r>
              <w:rPr>
                <w:rFonts w:ascii="仿宋_GB2312" w:hAnsi="仿宋_GB2312" w:cs="仿宋_GB2312" w:eastAsia="仿宋_GB2312"/>
                <w:b/>
              </w:rPr>
              <w:t>(</w:t>
            </w:r>
            <w:r>
              <w:rPr>
                <w:rFonts w:ascii="仿宋_GB2312" w:hAnsi="仿宋_GB2312" w:cs="仿宋_GB2312" w:eastAsia="仿宋_GB2312"/>
                <w:b/>
              </w:rPr>
              <w:t>投标文件</w:t>
            </w:r>
            <w:r>
              <w:rPr>
                <w:rFonts w:ascii="仿宋_GB2312" w:hAnsi="仿宋_GB2312" w:cs="仿宋_GB2312" w:eastAsia="仿宋_GB2312"/>
                <w:b/>
              </w:rPr>
              <w:t>需提供软件界面截图证明</w:t>
            </w:r>
            <w:r>
              <w:rPr>
                <w:rFonts w:ascii="仿宋_GB2312" w:hAnsi="仿宋_GB2312" w:cs="仿宋_GB2312" w:eastAsia="仿宋_GB2312"/>
                <w:b/>
              </w:rPr>
              <w:t>)</w:t>
            </w:r>
          </w:p>
          <w:p>
            <w:pPr>
              <w:pStyle w:val="null3"/>
            </w:pPr>
            <w:r>
              <w:rPr>
                <w:rFonts w:ascii="仿宋_GB2312" w:hAnsi="仿宋_GB2312" w:cs="仿宋_GB2312" w:eastAsia="仿宋_GB2312"/>
              </w:rPr>
              <w:t>2.数据导出：将原始数据和处理后数据以通用格式（如.txt, .csv, .xlsx等）导出</w:t>
            </w:r>
            <w:r>
              <w:rPr>
                <w:rFonts w:ascii="仿宋_GB2312" w:hAnsi="仿宋_GB2312" w:cs="仿宋_GB2312" w:eastAsia="仿宋_GB2312"/>
              </w:rPr>
              <w:t>；</w:t>
            </w:r>
          </w:p>
          <w:p>
            <w:pPr>
              <w:pStyle w:val="null3"/>
            </w:pPr>
            <w:r>
              <w:rPr>
                <w:rFonts w:ascii="仿宋_GB2312" w:hAnsi="仿宋_GB2312" w:cs="仿宋_GB2312" w:eastAsia="仿宋_GB2312"/>
              </w:rPr>
              <w:t>3.</w:t>
            </w:r>
            <w:r>
              <w:rPr>
                <w:rFonts w:ascii="仿宋_GB2312" w:hAnsi="仿宋_GB2312" w:cs="仿宋_GB2312" w:eastAsia="仿宋_GB2312"/>
              </w:rPr>
              <w:t>实时分析功能：</w:t>
            </w:r>
            <w:r>
              <w:rPr>
                <w:rFonts w:ascii="仿宋_GB2312" w:hAnsi="仿宋_GB2312" w:cs="仿宋_GB2312" w:eastAsia="仿宋_GB2312"/>
              </w:rPr>
              <w:t>数据实时显示和</w:t>
            </w:r>
            <w:r>
              <w:rPr>
                <w:rFonts w:ascii="仿宋_GB2312" w:hAnsi="仿宋_GB2312" w:cs="仿宋_GB2312" w:eastAsia="仿宋_GB2312"/>
              </w:rPr>
              <w:t>同步</w:t>
            </w:r>
            <w:r>
              <w:rPr>
                <w:rFonts w:ascii="仿宋_GB2312" w:hAnsi="仿宋_GB2312" w:cs="仿宋_GB2312" w:eastAsia="仿宋_GB2312"/>
              </w:rPr>
              <w:t>分析。</w:t>
            </w:r>
          </w:p>
          <w:p>
            <w:pPr>
              <w:pStyle w:val="null3"/>
            </w:pPr>
            <w:r>
              <w:rPr>
                <w:rFonts w:ascii="仿宋_GB2312" w:hAnsi="仿宋_GB2312" w:cs="仿宋_GB2312" w:eastAsia="仿宋_GB2312"/>
              </w:rPr>
              <w:t>4.数据存储：本地</w:t>
            </w:r>
            <w:r>
              <w:rPr>
                <w:rFonts w:ascii="仿宋_GB2312" w:hAnsi="仿宋_GB2312" w:cs="仿宋_GB2312" w:eastAsia="仿宋_GB2312"/>
              </w:rPr>
              <w:t>数据</w:t>
            </w:r>
            <w:r>
              <w:rPr>
                <w:rFonts w:ascii="仿宋_GB2312" w:hAnsi="仿宋_GB2312" w:cs="仿宋_GB2312" w:eastAsia="仿宋_GB2312"/>
              </w:rPr>
              <w:t>存储（存储容量</w:t>
            </w:r>
            <w:r>
              <w:rPr>
                <w:rFonts w:ascii="仿宋_GB2312" w:hAnsi="仿宋_GB2312" w:cs="仿宋_GB2312" w:eastAsia="仿宋_GB2312"/>
              </w:rPr>
              <w:t>≥1TB）。</w:t>
            </w:r>
          </w:p>
          <w:p>
            <w:pPr>
              <w:pStyle w:val="null3"/>
            </w:pPr>
            <w:r>
              <w:rPr>
                <w:rFonts w:ascii="仿宋_GB2312" w:hAnsi="仿宋_GB2312" w:cs="仿宋_GB2312" w:eastAsia="仿宋_GB2312"/>
              </w:rPr>
              <w:t>▲5.系统兼容：兼容Windows 10及以上版本操作系统。</w:t>
            </w:r>
            <w:r>
              <w:rPr>
                <w:rFonts w:ascii="仿宋_GB2312" w:hAnsi="仿宋_GB2312" w:cs="仿宋_GB2312" w:eastAsia="仿宋_GB2312"/>
                <w:b/>
              </w:rPr>
              <w:t>（投标文件需提供承诺书）</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接采购人通知后90个日历日完成供货。</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接采购人通知后60个日历日完成供货。</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接采购人通知后60个日历日完成供货。</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西安理工大学金花校区采购人指定地点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西安理工大学金花校区采购人指定地点</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西安理工大学金花校区采购人指定地点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设备运抵采购人指定地点并经采购人初步查验无误</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设备安装调试完成，经采购人验收合格并签署《验收合格报告》后，供应商开具全额合法有效的增值税专用发票</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设备运抵采购人指定地点并经采购人初步查验无误</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设备安装调试完成，经采购人验收合格并签署《验收合格报告》后，供应商开具全额合法有效的增值税专用发票</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采购包3：</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采购包3：</w:t>
      </w:r>
      <w:r>
        <w:rPr>
          <w:rFonts w:ascii="仿宋_GB2312" w:hAnsi="仿宋_GB2312" w:cs="仿宋_GB2312" w:eastAsia="仿宋_GB2312"/>
        </w:rPr>
        <w:t xml:space="preserve"> 付款条件说明： </w:t>
      </w:r>
      <w:r>
        <w:rPr>
          <w:rFonts w:ascii="仿宋_GB2312" w:hAnsi="仿宋_GB2312" w:cs="仿宋_GB2312" w:eastAsia="仿宋_GB2312"/>
        </w:rPr>
        <w:t>设备运抵采购人指定地点并经采购人初步查验无误</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采购包3：</w:t>
      </w:r>
      <w:r>
        <w:rPr>
          <w:rFonts w:ascii="仿宋_GB2312" w:hAnsi="仿宋_GB2312" w:cs="仿宋_GB2312" w:eastAsia="仿宋_GB2312"/>
        </w:rPr>
        <w:t xml:space="preserve"> 付款条件说明： </w:t>
      </w:r>
      <w:r>
        <w:rPr>
          <w:rFonts w:ascii="仿宋_GB2312" w:hAnsi="仿宋_GB2312" w:cs="仿宋_GB2312" w:eastAsia="仿宋_GB2312"/>
        </w:rPr>
        <w:t>设备安装调试完成，经采购人验收合格并签署《验收合格报告》后，供应商开具全额合法有效的增值税专用发票</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验收依据：招标文件、投标文件及技术澄清文件（函）；国家/行业标准、规范。（2）验收流程：①到货初检（采购人、供应商共同参与）：检查外包装完整性、防伪标识、运输损伤情况；核对货物型号、数量、规格是否与合同一致；检查随机文件（合格证、说明书、保修卡等）。②安装调试验收设备安装符合GB 50231-2009《机械设备安装工程施工及验收通用规范》；调试记录完整。③性能测试验收（关键指标实测）连续运行48小时无故障；关键参数与投标文件承诺值对比，符合文件约定。④最终验收签署《验收合格报告》，产品保修期自验收合格之日起算，由供应商提供产品保修文件。（3）验收标准：供应商按合同约定完成全部设备交付、安装调试并自检合格后，应向采购人提交书面验收申请及完整验收资料。采购人收到合格验收资料后，组织验收。若设备验收不合格，供应商应在收到采购人书面通知后5日内进行整改，并申请采购人复验。若供应商未在规定期限内完成整改或拒绝整改，视为供应商根本违约，采购人有权直接解除合同、要求退货并追究供应商违约责任；若复验仍不合格，采购人有权选择单方解除合同、要求退货，并要求供应商赔偿因此造成的全部损失。采购人也有权选择要求供应商更换合格设备，由此产生的所有费用由供应商承担，且更换后的设备质保期自新设备验收合格之日起重新计算。</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验收依据：招标文件、投标文件及技术澄清文件（函）；国家/行业标准、规范。（2）验收流程：①到货初检（采购人、供应商共同参与）：检查外包装完整性、防伪标识、运输损伤情况；核对货物型号、数量、规格是否与合同一致；检查随机文件（合格证、说明书、保修卡等）。②安装调试验收设备安装符合GB 50231-2009《机械设备安装工程施工及验收通用规范》；调试记录完整。③性能测试验收（关键指标实测）连续运行48小时无故障；关键参数与投标文件承诺值对比，符合文件约定。④最终验收签署《验收合格报告》，产品保修期自验收合格之日起算，由供应商提供产品保修文件。（3）验收标准：供应商按合同约定完成全部设备交付、安装调试并自检合格后，应向采购人提交书面验收申请及完整验收资料。采购人收到合格验收资料后，组织验收。若设备验收不合格，供应商应在收到采购人书面通知后5日内进行整改，并申请采购人复验。若供应商未在规定期限内完成整改或拒绝整改，视为供应商根本违约，采购人有权直接解除合同、要求退货并追究供应商违约责任；若复验仍不合格，采购人有权选择单方解除合同、要求退货，并要求供应商赔偿因此造成的全部损失。采购人也有权选择要求供应商更换合格设备，由此产生的所有费用由供应商承担，且更换后的设备质保期自新设备验收合格之日起重新计算。</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验收依据：招标文件、投标文件及技术澄清文件（函）；国家/行业标准、规范。（2）验收流程：包括到货初验、安装调试验收和最终验收。最终验收以设备连续稳定运行72小时无故障；关键参数与投标文件承诺值对比，符合文件约定。（3）验收标准：供应商按合同约定完成全部设备交付、安装调试并自检合格后，应向采购人提交书面验收申请及完整验收资料。采购人收到合格验收资料后，组织验收。若设备验收不合格，供应商应在收到采购人书面通知后5日内进行整改，并申请采购人复验。若供应商未在规定期限内完成整改或拒绝整改，视为供应商根本违约，采购人有权直接解除合同、要求退货并追究供应商违约责任；若复验仍不合格，采购人有权选择单方解除合同、要求退货，并要求供应商赔偿因此造成的全部损失。采购人也有权选择要求供应商更换合格设备，由此产生的所有费用由供应商承担，且更换后的设备质保期自新设备验收合格之日起重新计算。（4）其他要求：①供应商所提供的货物应符合国家相关质量验收标准且为全新、原装、有正规进货渠道的货物，质量、规格、外观等最新行业标准。②供应商须指派不少于1名原厂或授权资深工程师，负责现场开箱、安装、调试和技术支持。在设备安装调试期间，供应商工程师应对采购人操作人员进行现场操作和维护培训。③货物运达采购人指定的交货地点后，由采购人及供应商双方共同对货物数量、外观、质量等进行验收，验收合格共同签字确认。经验收合格并不免除供应商在之后的质量责任。</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包装标准：供应商提供产品及相关快递服务的包装要求，按照《商品包装政府采购需求标准（试行）》、《快递包装政府采购需求标准（试行）》执行，确保防潮、防震、防锈蚀、防碎；包装箱外应清晰标明设备名称、编号、重量、尺寸及防雨、易碎、向上等标识；（2）运输方式：供应商自主选择，须购买全程运输保险，保证按期交付。不得断货，因断货造成的损失由中标人负责赔偿；（3）运输责任：运输由供应商负责，运杂费已包含在合同总价内。包括从货物供应地点运送至交付地点所含的运输费、装卸费、仓储费、保险费等；（4）存放与保管：货物到达采购人指定地点后，供应商应按有关技术规程和采购人要求进行存放和保管。</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包装标准：供应商提供产品及相关快递服务的包装要求，按照《商品包装政府采购需求标准（试行）》、《快递包装政府采购需求标准（试行）》执行，确保防潮、防震、防锈蚀、防碎；包装箱外应清晰标明设备名称、编号、重量、尺寸及防雨、易碎、向上等标识；（2）运输方式：供应商自主选择，须购买全程运输保险，保证按期交付。不得断货，因断货造成的损失由中标人负责赔偿；（3）运输责任：运输由供应商负责，运杂费已包含在合同总价内。包括从货物供应地点运送至交付地点所含的运输费、装卸费、仓储费、保险费等；（4）存放与保管：货物到达采购人指定地点后，供应商应按有关技术规程和采购人要求进行存放和保管。</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（1）包装标准：货物包装应符合GB/T 13384-2008《机电产品包装通用技术条件》等国家相关标准。设备应使用坚固、全新的包装箱，内部采取充分的防潮、防震、防锈、防腐蚀、防碎，确保货物在长途运输和多次搬运后安全无损、完好送达。包装箱外应清晰标明设备名称、编号、重量、尺寸及防雨、易碎、向上等标识；（2）运输方式：由供应商自主选择安全可靠的运输方式并承担全部费用和风险。必须购买全程运输保险，确保货物安全、按期交付；（3）运输责任：运输由供应商负责，运杂费、保险费、装卸费等一切费用均已包含在合同总价内。货物到达采购人指定地点前的一切损失、损坏均由供应商承担；（4）存放与保管：货物到达采购人指定地点后，在供应商现场工程师的指导下进行卸货和短期存放。</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质保要求：质保期2年（自验收合格出具验收报告之日起算）。质保期内出现任何非人为故意损坏的质量问题，由乙方包换或包退，并承担调换或退货的全部费用。①质量标准：供应商的产品质量应当符合国家行业规定的标准，并无任何瑕疵；供应商应按配置清单要求提供原装产品，除人为因素损坏外，对该产品实行三包（即包修、包退、包换），免费提供所有设备正常使用所需的备品备件，且供应商维修所更换的配件和备品备件均为原设备厂家生产；②不符约定处理：如交付品种、型号、规格不符合同约定的，由供应商负责退换，由此产生的一切费用及给采购人造成的相关损失由供应商全部承担并赔偿相应损失；③不能修理或调换：如不能修理或者不能调换的，按不能交货处理，因此给采购人造成的所有经济损失供应商应予全额赔偿；④质保服务：保修期内由供应商免费质保，采购人报修后2小时内供应商必须响应，否则将依据有关法律、法规进行追偿；若供应商未按时响应或维修后仍无法正常使用，采购人有权委托第三方维修，产生的费用从履约保证金或相关应付款项中抵扣，不足部分由供应商承担。在设备使用年限或双方另行商定的期限内，供应商应持续提供软件升级、技术咨询等支持服务。⑤瑕疵责任：供应商提供产品应无任何瑕疵，符合国际、国内相关标准。如在使用过程中本产品存在隐蔽瑕疵造成任何事故而引发的纠纷，由供应商全额负责赔偿，并免费为采购人修复瑕疵或更新换代，其间产生的费用均由供应商承担。（2）安装调试要求：安装标准：执行GB50231-2009《机械设备安装工程施工及验收通用规范》；调试周期：连续72小时无故障运行测试；人员培训：提供相关操作人员培训资料。（3）配套工程：包含安装设备所需工具（需提前2日做好准备）。（4）质量保证：质量追溯：提供原材料来源证明及质量检验报告；货物要求：以采购人的要求为准，为采购人提供全新的货物（包括零部件）。（5）售后服务：定期维护：每季度提供预防性维护服务。</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质保要求：质保期2年（自验收合格出具验收报告之日起算）。质保期内出现任何非人为故意损坏的质量问题，由供应商包换或包退，并承担调换或退货的全部费用。①质量标准：供应商的产品质量应当符合国家行业规定的标准，并无任何瑕疵；供应商应按配置清单要求提供原装产品，除人为因素损坏外，对该产品实行三包（即包修、包退、包换），及时提供所有设备正常使用所需的备品备件，且供应商维修所更换的配件和备品备件均为原设备厂家生产；②不符约定处理：如交付品种、型号、规格不符合同约定的，由供应商负责退换，由此产生的一切费用及给采购人造成的相关损失由供应商全部承担并赔偿相应损失；③不能修理或调换：如不能修理或者不能调换的，按不能交货处理，因此给采购人造成的所有经济损失供应商应予全额赔偿；④质保服务：保修期内由供应商提供质保，采购人报修后2小时内供应商必须响应，48小时内解决问题，否则将依据有关法律、法规进行追偿；若供应商未按时响应或维修后仍无法正常使用，采购人有权委托第三方维修，产生的费用从履约保证金或相关应付款项中抵扣，不足部分由供应商承担。在设备使用年限或双方另行商定的期限内，供应商应持续提供软件升级、技术咨询等支持服务。⑤瑕疵责任：供应商提供产品应无任何瑕疵，符合国际、国内相关标准。如在使用过程中本产品存在隐蔽瑕疵造成任何事故而引发的纠纷，由供应商全额负责赔偿，并为采购人修复瑕疵或更新换代，其间产生的费用均由供应商承担。（2）安装调试要求：安装标准：执行GB50231-2009《机械设备安装工程施工及验收通用规范》；调试周期：连续48小时无故障运行测试；人员培训：提供相关操作人员培训资料。（3）配套工程：包含安装设备所需工具（需提前2日做好准备）。（4）质量保证：质量追溯：提供原材料来源证明及质量检验报告；货物要求：以采购人的要求为准，为采购人提供全新的货物（包括零部件）。（5）售后服务：需提供7×24小时售后服务，一般故障需在2小时内响应，48小时内解决。</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质保要求：①质保期2年（自验收合格出具验收报告之日起算）。②质保范围：质保期内，设备出现任何非人为原因导致的性能故障或损坏，供应商需提供维修、更换零部件等服务。③质量追溯：供应商应保证所有产品为全新、原装、未使用的正品，并可提供原材料来源证明及质量检验报告。（2）专用工具及备品备件：①专用工具：供应商应随货提供设备日常维护、校准所需的专用工具一套（如校准夹具、专用螺丝刀等）；②备品备件：中标人应随货提供价值不低于设备总价1%的易损件、耗材和关键备件（如备用探头接口、O型密封圈、保险丝等），并提供详细清单。 （3）安装调试要求：①安装调试：供应商须负责上门安装调试，包括设备组装、通电测试、软件安装、系统联调、性能指标验证等，直至设备达到本合同约定的所有技术性能指标并正常运行；②人员配合：采购人负责提供安装所需的水、电、网络接口及必要的人员配合，供应商负责提供安装所需的所有专业工具和技术人员。 （4）技术培训：供应商须在安装现场对至少3名采购人操作人员进行技术培训，直至其能独立操作设备及软件。（5）配套工程：包含安装设备所需工具（需提前2日做好准备） （6）售后服务：①响应时限：提供7×24小时技术支持热线。质保期内，出现故障时，供应商工程师须在4小时内通过电话/网络响应，如需现场服务，应在24小时内到达现场（陕西省内）。若供应商未按时响应或维修后仍无法正常使用，采购人有权委托第三方维修，产生的费用从履约保证金或相关应付款项中抵扣，不足部分由供应商承担。在设备使用年限或双方另行商定的期限内，供应商应持续提供软件升级、技术咨询等支持服务。②定期维护：质保期内，每半年提供一次设备健康检查与预防性维护服务。③软件升级：提供软件的终身免费升级服务。④技术支援：遇重大科研任务时，根据采购人需求提供技术支持服务。</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合同违约情况按《中华人民共和国民法典》中的相关条款执行；（2）供应商应对其工作人员人身安全负责，如因工作人员在履行职务过程中的疏忽、失职、过错等故意或者过失原因给采购人造成损失或侵害，包括但不限于采购人本身的财产损失（直接损失、间接损失、采购人为避免损失扩大或维权而支出的律师费、诉讼费、保全费、鉴定费、差旅费等所有合理费用等）、由此而导致的采购人对任何第三方的法律责任等，供应商对此均应承担全部的赔偿责任；（3）未按合同要求提供设备或提供的设备质量或规格不能满足技术要求，采购人有权终止合同并对供应商违约行为进行追究，同时按政府采购法的有关规定进行相应的处罚；（4）若供应商发生延迟交货，每延迟1日，应向采购人支付合同总金额1‰的违约金；延迟超过15日的，采购人有权单方解除合同，并要求供应商支付合同总金额20%的违约金，如该违约金不足以弥补采购人损失的，供应商还应予以赔偿。（5）合同履行过程中出现争议时，由双方友好协商解决。协商不成，向采购人所在地有管辖权的人民法院提起诉讼。</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合同违约情况按《中华人民共和国民法典》中的相关条款执行；（2）供应商应对其工作人员人身安全负责，如因工作人员在履行职务过程中的疏忽、失职、过错等故意或者过失原因给采购人造成损失或侵害，包括但不限于采购人本身的财产损失（直接损失、间接损失、采购人为避免损失扩大或维权而支出的律师费、诉讼费、保全费、鉴定费、差旅费等所有合理费用等）、由此而导致的采购人对任何第三方的法律责任等，供应商对此均应承担全部的赔偿责任；（3）未按合同要求提供设备或提供的设备质量或规格不能满足技术要求，采购人有权终止合同并对供应商违约行为进行追究，同时按政府采购法的有关规定进行相应的处罚；（4）若供应商发生延迟交货，每延迟1日，应向采购人支付合同总金额1‰的违约金；延迟超过15日的，采购人有权单方解除合同，并要求供应商支付合同总金额20%的违约金，如该违约金不足以弥补采购人损失的，供应商还应予以赔偿。（5）合同履行过程中出现争议时，由双方友好协商解决。协商不成，向采购人所在地有管辖权的人民法院提起诉讼。</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合同违约情况按《中华人民共和国民法典》中的相关条款执行；（2）供应商应对其工作人员人身安全负责，如因工作人员在履行职务过程中的疏忽、失职、过错等故意或者过失原因给采购人造成损失或侵害，包括但不限于采购人本身的财产损失（直接损失、间接损失、采购人为避免损失扩大或维权而支出的律师费、诉讼费、保全费、鉴定费、差旅费等所有合理费用等）、由此而导致的采购人对任何第三方的法律责任等，供应商对此均应承担全部的赔偿责任；（3）未按合同要求提供设备或提供的设备质量或规格不能满足技术要求，采购人有权终止合同并对供应商违约行为进行追究，同时按政府采购法的有关规定进行相应的处罚；（4）若供应商发生延迟交货，每延迟1日，应向采购人支付合同总金额1‰的违约金；延迟超过15日的，采购人有权单方解除合同，并要求供应商支付合同总金额20%的违约金，如该违约金不足以弥补采购人损失的，供应商还应予以赔偿。（5）合同履行过程中出现争议时，由双方友好协商解决。协商不成，向采购人所在地有管辖权的人民法院提起诉讼。</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（1）因政府采购电子化交易平台格式受限，招标文件“3.4.4支付约定”以下列内容为准： 采购包1：合同签订后5个工作日内，采购人向供应商预付合同总价的40%；设备运抵采购人指定地点并经采购人初步查验无误后7个工作日内，采购人向供应商支付合同总价的30%；设备安装调试完成，经采购人验收合格并签署《验收合格报告》后，供应商开具全额合法有效的增值税专用发票，采购人7个工作日内向供应商支付合同总价的30%。 采购包2：合同签订后5个工作日内，采购人向供应商预付合同总价的40%；设备运抵采购人指定地点并经采购人初步查验无误后7个工作日内，采购人向供应商支付合同总价的30%；设备安装调试完成，经采购人验收合格并签署《验收合格报告》后，供应商开具全额合法有效的增值税专用发票，采购人7个工作日内向供应商支付合同总价的30%。采购包3：合同签订后5个工作日内，采购人向供应商预付合同总价的40%；设备运抵采购人指定地点并经采购人初步查验无误后7个工作日内，采购人向供应商支付合同总价的30%；设备安装调试完成，经采购人验收合格并签署《验收合格报告》后，供应商开具全额合法有效的增值税专用发票，采购人7个工作日内向供应商支付合同总价的30%。（2）中标供应商应于结果公告发布后3日内提交纸质投标文件肆份（正本壹份、副本叁份），纸质版投标文件需包含目录、无少页、缺页、连续页码（要求首封面为第1页，从第2页开始连续编辑页码）。纸质版文件内容应与电子版文件内容保持一致。递交地点：西安市雁塔区南二环东段凯森盛世1号B座2606室；（3）以保函形式交纳投标保证金的，投标人应在投标截止时间前将保函扫描成清晰的PDF文件，发送至邮箱3210945469@qq.com（邮件命名：项目编号+采购包号+项目名称），并将保函原件单独递交至代理机构财务；投标人应在投标文件中附保函复印件或扫描件。保函必须由具有开具投标保函资格的单位开具；若投标人违约，开具保函单位承担连带责任。（4）本项目可兼投兼中。</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投标主体资格证明</w:t>
            </w:r>
          </w:p>
        </w:tc>
        <w:tc>
          <w:tcPr>
            <w:tcW w:type="dxa" w:w="3322"/>
          </w:tcPr>
          <w:p>
            <w:pPr>
              <w:pStyle w:val="null3"/>
            </w:pPr>
            <w:r>
              <w:rPr>
                <w:rFonts w:ascii="仿宋_GB2312" w:hAnsi="仿宋_GB2312" w:cs="仿宋_GB2312" w:eastAsia="仿宋_GB2312"/>
              </w:rPr>
              <w:t>供应商为具有独立承担民事责任能力的法人、其他组织或自然人，提供合法有效的统一社会信用代码营业执照（事业单位提供事业单位法人证书，自然人应提供身份证）</w:t>
            </w:r>
          </w:p>
        </w:tc>
        <w:tc>
          <w:tcPr>
            <w:tcW w:type="dxa" w:w="1661"/>
          </w:tcPr>
          <w:p>
            <w:pPr>
              <w:pStyle w:val="null3"/>
            </w:pPr>
            <w:r>
              <w:rPr>
                <w:rFonts w:ascii="仿宋_GB2312" w:hAnsi="仿宋_GB2312" w:cs="仿宋_GB2312" w:eastAsia="仿宋_GB2312"/>
              </w:rPr>
              <w:t>供应商资格要求格式</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或2025年度具有财务审计资质的单位出具的财务审计报告（成立时间至投标时间不足一年的可提供成立后任意时段的财务报表包括资产负债表、现金流量表、利润分配表）或投标前三个月内基本开户银行出具的资信证明或财政部门认可的政府采购专业担保机构出具的投标担保函</w:t>
            </w:r>
          </w:p>
        </w:tc>
        <w:tc>
          <w:tcPr>
            <w:tcW w:type="dxa" w:w="1661"/>
          </w:tcPr>
          <w:p>
            <w:pPr>
              <w:pStyle w:val="null3"/>
            </w:pPr>
            <w:r>
              <w:rPr>
                <w:rFonts w:ascii="仿宋_GB2312" w:hAnsi="仿宋_GB2312" w:cs="仿宋_GB2312" w:eastAsia="仿宋_GB2312"/>
              </w:rPr>
              <w:t>供应商资格要求格式</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提供递交投标文件截止之日前一年内任意一个月的依法缴纳税收的相关凭据，凭据应有税务机关或代收机关的公章或业务专用章。依法免税或无须缴纳税收的投标供应商，应提供相应证明文件</w:t>
            </w:r>
          </w:p>
        </w:tc>
        <w:tc>
          <w:tcPr>
            <w:tcW w:type="dxa" w:w="1661"/>
          </w:tcPr>
          <w:p>
            <w:pPr>
              <w:pStyle w:val="null3"/>
            </w:pPr>
            <w:r>
              <w:rPr>
                <w:rFonts w:ascii="仿宋_GB2312" w:hAnsi="仿宋_GB2312" w:cs="仿宋_GB2312" w:eastAsia="仿宋_GB2312"/>
              </w:rPr>
              <w:t>供应商资格要求格式</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提供递交投标文件截止之日前一年内任意一个月的社会保障资金缴存单据或社保机构开具的社会保险参保缴费情况证明。依法不需要缴纳社会保障资金的投标供应商应提供相关文件证明</w:t>
            </w:r>
          </w:p>
        </w:tc>
        <w:tc>
          <w:tcPr>
            <w:tcW w:type="dxa" w:w="1661"/>
          </w:tcPr>
          <w:p>
            <w:pPr>
              <w:pStyle w:val="null3"/>
            </w:pPr>
            <w:r>
              <w:rPr>
                <w:rFonts w:ascii="仿宋_GB2312" w:hAnsi="仿宋_GB2312" w:cs="仿宋_GB2312" w:eastAsia="仿宋_GB2312"/>
              </w:rPr>
              <w:t>供应商资格要求格式</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承诺书</w:t>
            </w:r>
          </w:p>
        </w:tc>
        <w:tc>
          <w:tcPr>
            <w:tcW w:type="dxa" w:w="3322"/>
          </w:tcPr>
          <w:p>
            <w:pPr>
              <w:pStyle w:val="null3"/>
            </w:pPr>
            <w:r>
              <w:rPr>
                <w:rFonts w:ascii="仿宋_GB2312" w:hAnsi="仿宋_GB2312" w:cs="仿宋_GB2312" w:eastAsia="仿宋_GB2312"/>
              </w:rPr>
              <w:t>提供具有履行本合同所必需的设备和专业技术能力的承诺</w:t>
            </w:r>
          </w:p>
        </w:tc>
        <w:tc>
          <w:tcPr>
            <w:tcW w:type="dxa" w:w="1661"/>
          </w:tcPr>
          <w:p>
            <w:pPr>
              <w:pStyle w:val="null3"/>
            </w:pPr>
            <w:r>
              <w:rPr>
                <w:rFonts w:ascii="仿宋_GB2312" w:hAnsi="仿宋_GB2312" w:cs="仿宋_GB2312" w:eastAsia="仿宋_GB2312"/>
              </w:rPr>
              <w:t>供应商资格要求格式</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供应商资格要求格式</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法定代表人身份证明书或法定代表人授权委托书</w:t>
            </w:r>
          </w:p>
        </w:tc>
        <w:tc>
          <w:tcPr>
            <w:tcW w:type="dxa" w:w="3322"/>
          </w:tcPr>
          <w:p>
            <w:pPr>
              <w:pStyle w:val="null3"/>
            </w:pPr>
            <w:r>
              <w:rPr>
                <w:rFonts w:ascii="仿宋_GB2312" w:hAnsi="仿宋_GB2312" w:cs="仿宋_GB2312" w:eastAsia="仿宋_GB2312"/>
              </w:rPr>
              <w:t>提供法定代表人/负责人授权书（附法定代表人/负责人、被授权人身份证复印件及被授权人近半年任意一个月社保缴纳证明或劳动合同。）（法定代表人/负责人直接参加投标，须提供法定代表人/负责人身份证明）</w:t>
            </w:r>
          </w:p>
        </w:tc>
        <w:tc>
          <w:tcPr>
            <w:tcW w:type="dxa" w:w="1661"/>
          </w:tcPr>
          <w:p>
            <w:pPr>
              <w:pStyle w:val="null3"/>
            </w:pPr>
            <w:r>
              <w:rPr>
                <w:rFonts w:ascii="仿宋_GB2312" w:hAnsi="仿宋_GB2312" w:cs="仿宋_GB2312" w:eastAsia="仿宋_GB2312"/>
              </w:rPr>
              <w:t>供应商资格要求格式</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投标主体资格证明</w:t>
            </w:r>
          </w:p>
        </w:tc>
        <w:tc>
          <w:tcPr>
            <w:tcW w:type="dxa" w:w="3322"/>
          </w:tcPr>
          <w:p>
            <w:pPr>
              <w:pStyle w:val="null3"/>
            </w:pPr>
            <w:r>
              <w:rPr>
                <w:rFonts w:ascii="仿宋_GB2312" w:hAnsi="仿宋_GB2312" w:cs="仿宋_GB2312" w:eastAsia="仿宋_GB2312"/>
              </w:rPr>
              <w:t>供应商为具有独立承担民事责任能力的法人、其他组织或自然人，提供合法有效的统一社会信用代码营业执照（事业单位提供事业单位法人证书，自然人应提供身份证）</w:t>
            </w:r>
          </w:p>
        </w:tc>
        <w:tc>
          <w:tcPr>
            <w:tcW w:type="dxa" w:w="1661"/>
          </w:tcPr>
          <w:p>
            <w:pPr>
              <w:pStyle w:val="null3"/>
            </w:pPr>
            <w:r>
              <w:rPr>
                <w:rFonts w:ascii="仿宋_GB2312" w:hAnsi="仿宋_GB2312" w:cs="仿宋_GB2312" w:eastAsia="仿宋_GB2312"/>
              </w:rPr>
              <w:t>供应商资格要求格式</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或2025年度具有财务审计资质的单位出具的财务审计报告（成立时间至投标时间不足一年的可提供成立后任意时段的财务报表包括资产负债表、现金流量表、利润分配表）或投标前三个月内基本开户银行出具的资信证明或财政部门认可的政府采购专业担保机构出具的投标担保函</w:t>
            </w:r>
          </w:p>
        </w:tc>
        <w:tc>
          <w:tcPr>
            <w:tcW w:type="dxa" w:w="1661"/>
          </w:tcPr>
          <w:p>
            <w:pPr>
              <w:pStyle w:val="null3"/>
            </w:pPr>
            <w:r>
              <w:rPr>
                <w:rFonts w:ascii="仿宋_GB2312" w:hAnsi="仿宋_GB2312" w:cs="仿宋_GB2312" w:eastAsia="仿宋_GB2312"/>
              </w:rPr>
              <w:t>供应商资格要求格式</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提供递交投标文件截止之日前一年内任意一个月的依法缴纳税收的相关凭据，凭据应有税务机关或代收机关的公章或业务专用章。依法免税或无须缴纳税收的投标供应商，应提供相应证明文件</w:t>
            </w:r>
          </w:p>
        </w:tc>
        <w:tc>
          <w:tcPr>
            <w:tcW w:type="dxa" w:w="1661"/>
          </w:tcPr>
          <w:p>
            <w:pPr>
              <w:pStyle w:val="null3"/>
            </w:pPr>
            <w:r>
              <w:rPr>
                <w:rFonts w:ascii="仿宋_GB2312" w:hAnsi="仿宋_GB2312" w:cs="仿宋_GB2312" w:eastAsia="仿宋_GB2312"/>
              </w:rPr>
              <w:t>供应商资格要求格式</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提供递交投标文件截止之日前一年内任意一个月的社会保障资金缴存单据或社保机构开具的社会保险参保缴费情况证明。依法不需要缴纳社会保障资金的投标供应商应提供相关文件证明</w:t>
            </w:r>
          </w:p>
        </w:tc>
        <w:tc>
          <w:tcPr>
            <w:tcW w:type="dxa" w:w="1661"/>
          </w:tcPr>
          <w:p>
            <w:pPr>
              <w:pStyle w:val="null3"/>
            </w:pPr>
            <w:r>
              <w:rPr>
                <w:rFonts w:ascii="仿宋_GB2312" w:hAnsi="仿宋_GB2312" w:cs="仿宋_GB2312" w:eastAsia="仿宋_GB2312"/>
              </w:rPr>
              <w:t>供应商资格要求格式</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承诺书</w:t>
            </w:r>
          </w:p>
        </w:tc>
        <w:tc>
          <w:tcPr>
            <w:tcW w:type="dxa" w:w="3322"/>
          </w:tcPr>
          <w:p>
            <w:pPr>
              <w:pStyle w:val="null3"/>
            </w:pPr>
            <w:r>
              <w:rPr>
                <w:rFonts w:ascii="仿宋_GB2312" w:hAnsi="仿宋_GB2312" w:cs="仿宋_GB2312" w:eastAsia="仿宋_GB2312"/>
              </w:rPr>
              <w:t>提供具有履行本合同所必需的设备和专业技术能力的承诺</w:t>
            </w:r>
          </w:p>
        </w:tc>
        <w:tc>
          <w:tcPr>
            <w:tcW w:type="dxa" w:w="1661"/>
          </w:tcPr>
          <w:p>
            <w:pPr>
              <w:pStyle w:val="null3"/>
            </w:pPr>
            <w:r>
              <w:rPr>
                <w:rFonts w:ascii="仿宋_GB2312" w:hAnsi="仿宋_GB2312" w:cs="仿宋_GB2312" w:eastAsia="仿宋_GB2312"/>
              </w:rPr>
              <w:t>供应商资格要求格式</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供应商资格要求格式</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法定代表人身份证明书或法定代表人授权委托书</w:t>
            </w:r>
          </w:p>
        </w:tc>
        <w:tc>
          <w:tcPr>
            <w:tcW w:type="dxa" w:w="3322"/>
          </w:tcPr>
          <w:p>
            <w:pPr>
              <w:pStyle w:val="null3"/>
            </w:pPr>
            <w:r>
              <w:rPr>
                <w:rFonts w:ascii="仿宋_GB2312" w:hAnsi="仿宋_GB2312" w:cs="仿宋_GB2312" w:eastAsia="仿宋_GB2312"/>
              </w:rPr>
              <w:t>提供法定代表人/负责人授权书（附法定代表人/负责人、被授权人身份证复印件及被授权人近半年任意一个月社保缴纳证明或劳动合同。）（法定代表人/负责人直接参加投标，须提供法定代表人/负责人身份证明）</w:t>
            </w:r>
          </w:p>
        </w:tc>
        <w:tc>
          <w:tcPr>
            <w:tcW w:type="dxa" w:w="1661"/>
          </w:tcPr>
          <w:p>
            <w:pPr>
              <w:pStyle w:val="null3"/>
            </w:pPr>
            <w:r>
              <w:rPr>
                <w:rFonts w:ascii="仿宋_GB2312" w:hAnsi="仿宋_GB2312" w:cs="仿宋_GB2312" w:eastAsia="仿宋_GB2312"/>
              </w:rPr>
              <w:t>供应商资格要求格式</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投标主体资格证明</w:t>
            </w:r>
          </w:p>
        </w:tc>
        <w:tc>
          <w:tcPr>
            <w:tcW w:type="dxa" w:w="3322"/>
          </w:tcPr>
          <w:p>
            <w:pPr>
              <w:pStyle w:val="null3"/>
            </w:pPr>
            <w:r>
              <w:rPr>
                <w:rFonts w:ascii="仿宋_GB2312" w:hAnsi="仿宋_GB2312" w:cs="仿宋_GB2312" w:eastAsia="仿宋_GB2312"/>
              </w:rPr>
              <w:t>供应商为具有独立承担民事责任能力的法人、其他组织或自然人，提供合法有效的统一社会信用代码营业执照（事业单位提供事业单位法人证书，自然人应提供身份证）</w:t>
            </w:r>
          </w:p>
        </w:tc>
        <w:tc>
          <w:tcPr>
            <w:tcW w:type="dxa" w:w="1661"/>
          </w:tcPr>
          <w:p>
            <w:pPr>
              <w:pStyle w:val="null3"/>
            </w:pPr>
            <w:r>
              <w:rPr>
                <w:rFonts w:ascii="仿宋_GB2312" w:hAnsi="仿宋_GB2312" w:cs="仿宋_GB2312" w:eastAsia="仿宋_GB2312"/>
              </w:rPr>
              <w:t>供应商资格要求格式</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或2025年度具有财务审计资质的单位出具的财务审计报告（成立时间至投标时间不足一年的可提供成立后任意时段的财务报表包括资产负债表、现金流量表、利润分配表）或投标前三个月内基本开户银行出具的资信证明或财政部门认可的政府采购专业担保机构出具的投标担保函</w:t>
            </w:r>
          </w:p>
        </w:tc>
        <w:tc>
          <w:tcPr>
            <w:tcW w:type="dxa" w:w="1661"/>
          </w:tcPr>
          <w:p>
            <w:pPr>
              <w:pStyle w:val="null3"/>
            </w:pPr>
            <w:r>
              <w:rPr>
                <w:rFonts w:ascii="仿宋_GB2312" w:hAnsi="仿宋_GB2312" w:cs="仿宋_GB2312" w:eastAsia="仿宋_GB2312"/>
              </w:rPr>
              <w:t>供应商资格要求格式</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提供递交投标文件截止之日前一年内任意一个月的依法缴纳税收的相关凭据，凭据应有税务机关或代收机关的公章或业务专用章。依法免税或无须缴纳税收的投标供应商，应提供相应证明文件</w:t>
            </w:r>
          </w:p>
        </w:tc>
        <w:tc>
          <w:tcPr>
            <w:tcW w:type="dxa" w:w="1661"/>
          </w:tcPr>
          <w:p>
            <w:pPr>
              <w:pStyle w:val="null3"/>
            </w:pPr>
            <w:r>
              <w:rPr>
                <w:rFonts w:ascii="仿宋_GB2312" w:hAnsi="仿宋_GB2312" w:cs="仿宋_GB2312" w:eastAsia="仿宋_GB2312"/>
              </w:rPr>
              <w:t>供应商资格要求格式</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提供递交投标文件截止之日前一年内任意一个月的社会保障资金缴存单据或社保机构开具的社会保险参保缴费情况证明。依法不需要缴纳社会保障资金的投标供应商应提供相关文件证明</w:t>
            </w:r>
          </w:p>
        </w:tc>
        <w:tc>
          <w:tcPr>
            <w:tcW w:type="dxa" w:w="1661"/>
          </w:tcPr>
          <w:p>
            <w:pPr>
              <w:pStyle w:val="null3"/>
            </w:pPr>
            <w:r>
              <w:rPr>
                <w:rFonts w:ascii="仿宋_GB2312" w:hAnsi="仿宋_GB2312" w:cs="仿宋_GB2312" w:eastAsia="仿宋_GB2312"/>
              </w:rPr>
              <w:t>供应商资格要求格式</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承诺书</w:t>
            </w:r>
          </w:p>
        </w:tc>
        <w:tc>
          <w:tcPr>
            <w:tcW w:type="dxa" w:w="3322"/>
          </w:tcPr>
          <w:p>
            <w:pPr>
              <w:pStyle w:val="null3"/>
            </w:pPr>
            <w:r>
              <w:rPr>
                <w:rFonts w:ascii="仿宋_GB2312" w:hAnsi="仿宋_GB2312" w:cs="仿宋_GB2312" w:eastAsia="仿宋_GB2312"/>
              </w:rPr>
              <w:t>提供具有履行本合同所必需的设备和专业技术能力的承诺</w:t>
            </w:r>
          </w:p>
        </w:tc>
        <w:tc>
          <w:tcPr>
            <w:tcW w:type="dxa" w:w="1661"/>
          </w:tcPr>
          <w:p>
            <w:pPr>
              <w:pStyle w:val="null3"/>
            </w:pPr>
            <w:r>
              <w:rPr>
                <w:rFonts w:ascii="仿宋_GB2312" w:hAnsi="仿宋_GB2312" w:cs="仿宋_GB2312" w:eastAsia="仿宋_GB2312"/>
              </w:rPr>
              <w:t>供应商资格要求格式</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供应商资格要求格式</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法定代表人身份证明书或法定代表人授权委托书</w:t>
            </w:r>
          </w:p>
        </w:tc>
        <w:tc>
          <w:tcPr>
            <w:tcW w:type="dxa" w:w="3322"/>
          </w:tcPr>
          <w:p>
            <w:pPr>
              <w:pStyle w:val="null3"/>
            </w:pPr>
            <w:r>
              <w:rPr>
                <w:rFonts w:ascii="仿宋_GB2312" w:hAnsi="仿宋_GB2312" w:cs="仿宋_GB2312" w:eastAsia="仿宋_GB2312"/>
              </w:rPr>
              <w:t>提供法定代表人/负责人授权书（附法定代表人/负责人、被授权人身份证复印件及被授权人近半年任意一个月社保缴纳证明或劳动合同。）（法定代表人/负责人直接参加投标，须提供法定代表人/负责人身份证明）</w:t>
            </w:r>
          </w:p>
        </w:tc>
        <w:tc>
          <w:tcPr>
            <w:tcW w:type="dxa" w:w="1661"/>
          </w:tcPr>
          <w:p>
            <w:pPr>
              <w:pStyle w:val="null3"/>
            </w:pPr>
            <w:r>
              <w:rPr>
                <w:rFonts w:ascii="仿宋_GB2312" w:hAnsi="仿宋_GB2312" w:cs="仿宋_GB2312" w:eastAsia="仿宋_GB2312"/>
              </w:rPr>
              <w:t>供应商资格要求格式</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落实政府采购政策需满足的资格要求</w:t>
            </w:r>
          </w:p>
        </w:tc>
        <w:tc>
          <w:tcPr>
            <w:tcW w:type="dxa" w:w="3322"/>
          </w:tcPr>
          <w:p>
            <w:pPr>
              <w:pStyle w:val="null3"/>
            </w:pPr>
            <w:r>
              <w:rPr>
                <w:rFonts w:ascii="仿宋_GB2312" w:hAnsi="仿宋_GB2312" w:cs="仿宋_GB2312" w:eastAsia="仿宋_GB2312"/>
              </w:rPr>
              <w:t>（1）《关于在政府采购活动中查询及使用信用记录有关问题的通知》（财库〔2016〕125号）； （2）《政府采购促进中小企业发展管理办法》（财库〔2020〕46号）、《关于进一步加大政府采购支持中小企业力度的通知》（财库〔2022〕19号）《关于政府采购支持监狱企业发展有关问题的通知》（财库〔2014〕68号）以及《关于促进残疾人就业政府采购政策的通知》（财库〔2017〕141号）； （3）国务院办公厅《关于建立政府强制采购节能产品制度的通知》（国办发〔2007〕51号）、财政部、国家发改委、生态环境部、市监总局联合印发《关于调整优化节能产品、环境标志产品政府采购执行机制的通知》（财库〔2019〕9号）； （4）《陕西省财政厅关于加快推进我省中小企业政府采购信用融资工作的通知》（陕财办采〔2020〕15 号）、陕西省财政厅关于印发《陕西省中小企业政府采购信用融资办法》（陕财办采〔2018〕23 号）； （5）根据《国务院办公厅关于在政府采购中实施本国产品标准及相关政策的通知 》（国办发〔2025〕34号），政府采购活动中既有本国产品又有非本国产品参与竞争的，依法对本国产品给予价格评审优惠，对本国产品的报价给予20%的价格扣除，用扣除后的价格参与评审。当采购项目或者采购包中含有多种产品，投标人为该采购项目或者采购包提供的符合本国产品标准的产品成本之和占该投标人提供的全部产品成本之和的比例达到80%以上时，依法对该投标人提供的全部产品给予价格评审优惠，即对该投标人提供的全部产品的总报价给予20%的价格扣除，用扣除后的价格参与评审。本项目不允许进口产品进行投标，全部为国产产品，所以不进行价格折扣； （6）其他需要落实的政府采购政策</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落实政府采购政策需满足的资格要求</w:t>
            </w:r>
          </w:p>
        </w:tc>
        <w:tc>
          <w:tcPr>
            <w:tcW w:type="dxa" w:w="3322"/>
          </w:tcPr>
          <w:p>
            <w:pPr>
              <w:pStyle w:val="null3"/>
            </w:pPr>
            <w:r>
              <w:rPr>
                <w:rFonts w:ascii="仿宋_GB2312" w:hAnsi="仿宋_GB2312" w:cs="仿宋_GB2312" w:eastAsia="仿宋_GB2312"/>
              </w:rPr>
              <w:t>（1）《关于在政府采购活动中查询及使用信用记录有关问题的通知》（财库〔2016〕125号）； （2）《政府采购促进中小企业发展管理办法》（财库〔2020〕46号）、《关于进一步加大政府采购支持中小企业力度的通知》（财库〔2022〕19号）《关于政府采购支持监狱企业发展有关问题的通知》（财库〔2014〕68号）以及《关于促进残疾人就业政府采购政策的通知》（财库〔2017〕141号）； （3）国务院办公厅《关于建立政府强制采购节能产品制度的通知》（国办发〔2007〕51号）、财政部、国家发改委、生态环境部、市监总局联合印发《关于调整优化节能产品、环境标志产品政府采购执行机制的通知》（财库〔2019〕9号）； （4）《陕西省财政厅关于加快推进我省中小企业政府采购信用融资工作的通知》（陕财办采〔2020〕15 号）、陕西省财政厅关于印发《陕西省中小企业政府采购信用融资办法》（陕财办采〔2018〕23 号）； （5）根据《国务院办公厅关于在政府采购中实施本国产品标准及相关政策的通知 》（国办发〔2025〕34号），政府采购活动中既有本国产品又有非本国产品参与竞争的，依法对本国产品给予价格评审优惠，对本国产品的报价给予20%的价格扣除，用扣除后的价格参与评审。当采购项目或者采购包中含有多种产品，投标人为该采购项目或者采购包提供的符合本国产品标准的产品成本之和占该投标人提供的全部产品成本之和的比例达到80%以上时，依法对该投标人提供的全部产品给予价格评审优惠，即对该投标人提供的全部产品的总报价给予20%的价格扣除，用扣除后的价格参与评审。本项目不允许进口产品进行投标，全部为国产产品，所以不进行价格折扣； （6）其他需要落实的政府采购政策</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落实政府采购政策需满足的资格要求</w:t>
            </w:r>
          </w:p>
        </w:tc>
        <w:tc>
          <w:tcPr>
            <w:tcW w:type="dxa" w:w="3322"/>
          </w:tcPr>
          <w:p>
            <w:pPr>
              <w:pStyle w:val="null3"/>
            </w:pPr>
            <w:r>
              <w:rPr>
                <w:rFonts w:ascii="仿宋_GB2312" w:hAnsi="仿宋_GB2312" w:cs="仿宋_GB2312" w:eastAsia="仿宋_GB2312"/>
              </w:rPr>
              <w:t>（1）《关于在政府采购活动中查询及使用信用记录有关问题的通知》（财库〔2016〕125号）； （2）《政府采购促进中小企业发展管理办法》（财库〔2020〕46号）、《关于进一步加大政府采购支持中小企业力度的通知》（财库〔2022〕19号）《关于政府采购支持监狱企业发展有关问题的通知》（财库〔2014〕68号）以及《关于促进残疾人就业政府采购政策的通知》（财库〔2017〕141号）； （3）国务院办公厅《关于建立政府强制采购节能产品制度的通知》（国办发〔2007〕51号）、财政部、国家发改委、生态环境部、市监总局联合印发《关于调整优化节能产品、环境标志产品政府采购执行机制的通知》（财库〔2019〕9号）； （4）《陕西省财政厅关于加快推进我省中小企业政府采购信用融资工作的通知》（陕财办采〔2020〕15 号）、陕西省财政厅关于印发《陕西省中小企业政府采购信用融资办法》（陕财办采〔2018〕23 号）； （5）根据《国务院办公厅关于在政府采购中实施本国产品标准及相关政策的通知 》（国办发〔2025〕34号），政府采购活动中既有本国产品又有非本国产品参与竞争的，依法对本国产品给予价格评审优惠，对本国产品的报价给予20%的价格扣除，用扣除后的价格参与评审。当采购项目或者采购包中含有多种产品，投标人为该采购项目或者采购包提供的符合本国产品标准的产品成本之和占该投标人提供的全部产品成本之和的比例达到80%以上时，依法对该投标人提供的全部产品给予价格评审优惠，即对该投标人提供的全部产品的总报价给予20%的价格扣除，用扣除后的价格参与评审。本项目不允许进口产品进行投标，全部为国产产品，所以不进行价格折扣； （6）其他需要落实的政府采购政策</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 3.根据《关于推动解决政府采购异常低价问题的通知》（财库〔2026〕2号）政府采购评审中出现下列情形之一的，评审委员会应当启动异常低价投标（响应）审查程序： ①投标（响应）报价低于全部通过符合性审查供应商投标（响应）报价平均值50%的，即投标（响应）报价&lt;全部通过符合性审查供应商投标（响应）报价平均值×50%； ②投标（响应）报价低于通过符合性审查的次低报价供应商投标（响应）报价50%的，即投标（响应）报价&lt;通过符合性审查的次低报价供应商投标（响应）报价×50%； ③投标（响应）报价低于采购项目最高限价45%的，即投标（响应）报价&lt;采购项目最高限价×45%； ④评审委员会基于专业判断，认为供应商报价过低，有可能影响产品质量或者不能诚信履约的其他情形。 启动异常低价投标（响应）审查后，属于前述第①项至第④项情形的,投标人在评审现场30分钟内对投标（响应）价格作出解释，提供项目具体成本测算等与报价合理性相关的书面说明及必要的证明材料，包括但不限于原材料成本、人工成本、制造费用等。 属于第③项情形，投标人已随投标(响应)文件一并提交相关书面说明及必要的证明材料的，在评审现场可不再重复提交。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投标文件签字、盖章是否满足招标文件要求</w:t>
            </w:r>
          </w:p>
        </w:tc>
        <w:tc>
          <w:tcPr>
            <w:tcW w:type="dxa" w:w="1661"/>
          </w:tcPr>
          <w:p>
            <w:pPr>
              <w:pStyle w:val="null3"/>
            </w:pPr>
            <w:r>
              <w:rPr>
                <w:rFonts w:ascii="仿宋_GB2312" w:hAnsi="仿宋_GB2312" w:cs="仿宋_GB2312" w:eastAsia="仿宋_GB2312"/>
              </w:rPr>
              <w:t>开标一览表 中小企业声明函 供应商资格要求格式 保证金缴纳凭证 商务条款偏离表 投标人应提交的相关资格证明材料 响应分项报价表（采购包1） 产品技术参数表 供应商认为有必要补充说明的事项 投标函 残疾人福利性单位声明函 标的清单 投标文件封面 供应商承诺书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投标报价是否超过预算或最高限价</w:t>
            </w:r>
          </w:p>
        </w:tc>
        <w:tc>
          <w:tcPr>
            <w:tcW w:type="dxa" w:w="1661"/>
          </w:tcPr>
          <w:p>
            <w:pPr>
              <w:pStyle w:val="null3"/>
            </w:pPr>
            <w:r>
              <w:rPr>
                <w:rFonts w:ascii="仿宋_GB2312" w:hAnsi="仿宋_GB2312" w:cs="仿宋_GB2312" w:eastAsia="仿宋_GB2312"/>
              </w:rPr>
              <w:t>响应分项报价表（采购包1） 开标一览表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投标有效期是否满足招标文件要求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商务条款</w:t>
            </w:r>
          </w:p>
        </w:tc>
        <w:tc>
          <w:tcPr>
            <w:tcW w:type="dxa" w:w="3322"/>
          </w:tcPr>
          <w:p>
            <w:pPr>
              <w:pStyle w:val="null3"/>
            </w:pPr>
            <w:r>
              <w:rPr>
                <w:rFonts w:ascii="仿宋_GB2312" w:hAnsi="仿宋_GB2312" w:cs="仿宋_GB2312" w:eastAsia="仿宋_GB2312"/>
              </w:rPr>
              <w:t>是否出现负偏离</w:t>
            </w:r>
          </w:p>
        </w:tc>
        <w:tc>
          <w:tcPr>
            <w:tcW w:type="dxa" w:w="1661"/>
          </w:tcPr>
          <w:p>
            <w:pPr>
              <w:pStyle w:val="null3"/>
            </w:pPr>
            <w:r>
              <w:rPr>
                <w:rFonts w:ascii="仿宋_GB2312" w:hAnsi="仿宋_GB2312" w:cs="仿宋_GB2312" w:eastAsia="仿宋_GB2312"/>
              </w:rPr>
              <w:t>商务条款偏离表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投标保证金</w:t>
            </w:r>
          </w:p>
        </w:tc>
        <w:tc>
          <w:tcPr>
            <w:tcW w:type="dxa" w:w="3322"/>
          </w:tcPr>
          <w:p>
            <w:pPr>
              <w:pStyle w:val="null3"/>
            </w:pPr>
            <w:r>
              <w:rPr>
                <w:rFonts w:ascii="仿宋_GB2312" w:hAnsi="仿宋_GB2312" w:cs="仿宋_GB2312" w:eastAsia="仿宋_GB2312"/>
              </w:rPr>
              <w:t>投标保证金缴纳凭证或担保机构出具的保函</w:t>
            </w:r>
          </w:p>
        </w:tc>
        <w:tc>
          <w:tcPr>
            <w:tcW w:type="dxa" w:w="1661"/>
          </w:tcPr>
          <w:p>
            <w:pPr>
              <w:pStyle w:val="null3"/>
            </w:pPr>
            <w:r>
              <w:rPr>
                <w:rFonts w:ascii="仿宋_GB2312" w:hAnsi="仿宋_GB2312" w:cs="仿宋_GB2312" w:eastAsia="仿宋_GB2312"/>
              </w:rPr>
              <w:t>保证金缴纳凭证</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“★”项参数响应</w:t>
            </w:r>
          </w:p>
        </w:tc>
        <w:tc>
          <w:tcPr>
            <w:tcW w:type="dxa" w:w="3322"/>
          </w:tcPr>
          <w:p>
            <w:pPr>
              <w:pStyle w:val="null3"/>
            </w:pPr>
            <w:r>
              <w:rPr>
                <w:rFonts w:ascii="仿宋_GB2312" w:hAnsi="仿宋_GB2312" w:cs="仿宋_GB2312" w:eastAsia="仿宋_GB2312"/>
              </w:rPr>
              <w:t>对技术要求中“★”项参数响应不得负偏离，并提供承诺书，参数负偏离或未提供承诺书，视为未响应。</w:t>
            </w:r>
          </w:p>
        </w:tc>
        <w:tc>
          <w:tcPr>
            <w:tcW w:type="dxa" w:w="1661"/>
          </w:tcPr>
          <w:p>
            <w:pPr>
              <w:pStyle w:val="null3"/>
            </w:pPr>
            <w:r>
              <w:rPr>
                <w:rFonts w:ascii="仿宋_GB2312" w:hAnsi="仿宋_GB2312" w:cs="仿宋_GB2312" w:eastAsia="仿宋_GB2312"/>
              </w:rPr>
              <w:t>产品技术参数表 投标方案说明书</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 3.根据《关于推动解决政府采购异常低价问题的通知》（财库〔2026〕2号）政府采购评审中出现下列情形之一的，评审委员会应当启动异常低价投标（响应）审查程序： ①投标（响应）报价低于全部通过符合性审查供应商投标（响应）报价平均值50%的，即投标（响应）报价&lt;全部通过符合性审查供应商投标（响应）报价平均值×50%； ②投标（响应）报价低于通过符合性审查的次低报价供应商投标（响应）报价50%的，即投标（响应）报价&lt;通过符合性审查的次低报价供应商投标（响应）报价×50%； ③投标（响应）报价低于采购项目最高限价45%的，即投标（响应）报价&lt;采购项目最高限价×45%； ④评审委员会基于专业判断，认为供应商报价过低，有可能影响产品质量或者不能诚信履约的其他情形。 启动异常低价投标（响应）审查后，属于前述第①项至第④项情形的,投标人在评审现场30分钟内对投标（响应）价格作出解释，提供项目具体成本测算等与报价合理性相关的书面说明及必要的证明材料，包括但不限于原材料成本、人工成本、制造费用等。 属于第③项情形，投标人已随投标(响应)文件一并提交相关书面说明及必要的证明材料的，在评审现场可不再重复提交。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投标文件签字、盖章是否满足招标文件要求</w:t>
            </w:r>
          </w:p>
        </w:tc>
        <w:tc>
          <w:tcPr>
            <w:tcW w:type="dxa" w:w="1661"/>
          </w:tcPr>
          <w:p>
            <w:pPr>
              <w:pStyle w:val="null3"/>
            </w:pPr>
            <w:r>
              <w:rPr>
                <w:rFonts w:ascii="仿宋_GB2312" w:hAnsi="仿宋_GB2312" w:cs="仿宋_GB2312" w:eastAsia="仿宋_GB2312"/>
              </w:rPr>
              <w:t>开标一览表 中小企业声明函 供应商资格要求格式 保证金缴纳凭证 商务条款偏离表 投标人应提交的相关资格证明材料 产品技术参数表 供应商认为有必要补充说明的事项 投标函 残疾人福利性单位声明函 标的清单 投标文件封面 供应商承诺书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投标报价是否超过预算或最高限价</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投标有效期是否满足招标文件要求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商务条款</w:t>
            </w:r>
          </w:p>
        </w:tc>
        <w:tc>
          <w:tcPr>
            <w:tcW w:type="dxa" w:w="3322"/>
          </w:tcPr>
          <w:p>
            <w:pPr>
              <w:pStyle w:val="null3"/>
            </w:pPr>
            <w:r>
              <w:rPr>
                <w:rFonts w:ascii="仿宋_GB2312" w:hAnsi="仿宋_GB2312" w:cs="仿宋_GB2312" w:eastAsia="仿宋_GB2312"/>
              </w:rPr>
              <w:t>是否出现负偏离</w:t>
            </w:r>
          </w:p>
        </w:tc>
        <w:tc>
          <w:tcPr>
            <w:tcW w:type="dxa" w:w="1661"/>
          </w:tcPr>
          <w:p>
            <w:pPr>
              <w:pStyle w:val="null3"/>
            </w:pPr>
            <w:r>
              <w:rPr>
                <w:rFonts w:ascii="仿宋_GB2312" w:hAnsi="仿宋_GB2312" w:cs="仿宋_GB2312" w:eastAsia="仿宋_GB2312"/>
              </w:rPr>
              <w:t>商务条款偏离表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投标保证金</w:t>
            </w:r>
          </w:p>
        </w:tc>
        <w:tc>
          <w:tcPr>
            <w:tcW w:type="dxa" w:w="3322"/>
          </w:tcPr>
          <w:p>
            <w:pPr>
              <w:pStyle w:val="null3"/>
            </w:pPr>
            <w:r>
              <w:rPr>
                <w:rFonts w:ascii="仿宋_GB2312" w:hAnsi="仿宋_GB2312" w:cs="仿宋_GB2312" w:eastAsia="仿宋_GB2312"/>
              </w:rPr>
              <w:t>投标保证金缴纳凭证或担保机构出具的保函</w:t>
            </w:r>
          </w:p>
        </w:tc>
        <w:tc>
          <w:tcPr>
            <w:tcW w:type="dxa" w:w="1661"/>
          </w:tcPr>
          <w:p>
            <w:pPr>
              <w:pStyle w:val="null3"/>
            </w:pPr>
            <w:r>
              <w:rPr>
                <w:rFonts w:ascii="仿宋_GB2312" w:hAnsi="仿宋_GB2312" w:cs="仿宋_GB2312" w:eastAsia="仿宋_GB2312"/>
              </w:rPr>
              <w:t>保证金缴纳凭证</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 3.根据《关于推动解决政府采购异常低价问题的通知》（财库〔2026〕2号）政府采购评审中出现下列情形之一的，评审委员会应当启动异常低价投标（响应）审查程序： ①投标（响应）报价低于全部通过符合性审查供应商投标（响应）报价平均值50%的，即投标（响应）报价&lt;全部通过符合性审查供应商投标（响应）报价平均值×50%； ②投标（响应）报价低于通过符合性审查的次低报价供应商投标（响应）报价50%的，即投标（响应）报价&lt;通过符合性审查的次低报价供应商投标（响应）报价×50%； ③投标（响应）报价低于采购项目最高限价45%的，即投标（响应）报价&lt;采购项目最高限价×45%； ④评审委员会基于专业判断，认为供应商报价过低，有可能影响产品质量或者不能诚信履约的其他情形。 启动异常低价投标（响应）审查后，属于前述第①项至第④项情形的,投标人在评审现场30分钟内对投标（响应）价格作出解释，提供项目具体成本测算等与报价合理性相关的书面说明及必要的证明材料，包括但不限于原材料成本、人工成本、制造费用等。 属于第③项情形，投标人已随投标(响应)文件一并提交相关书面说明及必要的证明材料的，在评审现场可不再重复提交。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投标文件签字、盖章是否满足招标文件要求</w:t>
            </w:r>
          </w:p>
        </w:tc>
        <w:tc>
          <w:tcPr>
            <w:tcW w:type="dxa" w:w="1661"/>
          </w:tcPr>
          <w:p>
            <w:pPr>
              <w:pStyle w:val="null3"/>
            </w:pPr>
            <w:r>
              <w:rPr>
                <w:rFonts w:ascii="仿宋_GB2312" w:hAnsi="仿宋_GB2312" w:cs="仿宋_GB2312" w:eastAsia="仿宋_GB2312"/>
              </w:rPr>
              <w:t>开标一览表 中小企业声明函 供应商资格要求格式 保证金缴纳凭证 商务条款偏离表 投标人应提交的相关资格证明材料 产品技术参数表 供应商认为有必要补充说明的事项 投标函 残疾人福利性单位声明函 标的清单 投标文件封面 供应商承诺书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投标报价是否超过预算或最高限价</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投标有效期是否满足招标文件要求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商务条款</w:t>
            </w:r>
          </w:p>
        </w:tc>
        <w:tc>
          <w:tcPr>
            <w:tcW w:type="dxa" w:w="3322"/>
          </w:tcPr>
          <w:p>
            <w:pPr>
              <w:pStyle w:val="null3"/>
            </w:pPr>
            <w:r>
              <w:rPr>
                <w:rFonts w:ascii="仿宋_GB2312" w:hAnsi="仿宋_GB2312" w:cs="仿宋_GB2312" w:eastAsia="仿宋_GB2312"/>
              </w:rPr>
              <w:t>是否出现负偏离</w:t>
            </w:r>
          </w:p>
        </w:tc>
        <w:tc>
          <w:tcPr>
            <w:tcW w:type="dxa" w:w="1661"/>
          </w:tcPr>
          <w:p>
            <w:pPr>
              <w:pStyle w:val="null3"/>
            </w:pPr>
            <w:r>
              <w:rPr>
                <w:rFonts w:ascii="仿宋_GB2312" w:hAnsi="仿宋_GB2312" w:cs="仿宋_GB2312" w:eastAsia="仿宋_GB2312"/>
              </w:rPr>
              <w:t>商务条款偏离表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投标保证金</w:t>
            </w:r>
          </w:p>
        </w:tc>
        <w:tc>
          <w:tcPr>
            <w:tcW w:type="dxa" w:w="3322"/>
          </w:tcPr>
          <w:p>
            <w:pPr>
              <w:pStyle w:val="null3"/>
            </w:pPr>
            <w:r>
              <w:rPr>
                <w:rFonts w:ascii="仿宋_GB2312" w:hAnsi="仿宋_GB2312" w:cs="仿宋_GB2312" w:eastAsia="仿宋_GB2312"/>
              </w:rPr>
              <w:t>投标保证金缴纳凭证或担保机构出具的保函</w:t>
            </w:r>
          </w:p>
        </w:tc>
        <w:tc>
          <w:tcPr>
            <w:tcW w:type="dxa" w:w="1661"/>
          </w:tcPr>
          <w:p>
            <w:pPr>
              <w:pStyle w:val="null3"/>
            </w:pPr>
            <w:r>
              <w:rPr>
                <w:rFonts w:ascii="仿宋_GB2312" w:hAnsi="仿宋_GB2312" w:cs="仿宋_GB2312" w:eastAsia="仿宋_GB2312"/>
              </w:rPr>
              <w:t>保证金缴纳凭证</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采购包3：</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技术指标和配置</w:t>
            </w:r>
          </w:p>
        </w:tc>
        <w:tc>
          <w:tcPr>
            <w:tcW w:type="dxa" w:w="2492"/>
          </w:tcPr>
          <w:p>
            <w:pPr>
              <w:pStyle w:val="null3"/>
            </w:pPr>
            <w:r>
              <w:rPr>
                <w:rFonts w:ascii="仿宋_GB2312" w:hAnsi="仿宋_GB2312" w:cs="仿宋_GB2312" w:eastAsia="仿宋_GB2312"/>
              </w:rPr>
              <w:t>1.根据投标人提供的产品技术参数表及相应的证明材料，经评审专家审定得分。“★”项为实质性要求，不满足视为未响应投标无效，不参与后续评分。 完全符合、响应招标文件要求，没有负偏离的得32分；“▲”参数（共10项）负偏离一项扣2分，非“▲”参数负偏离一项扣1分，扣完为止。 【备注：所有“▲”项参数须有佐证材料，佐证材料例如：国家认可的检测机构出具的检测报告、制造商检验报告、产品彩页、官网功能截图任意一种，经评审专家审定得分，未提供不得分。】</w:t>
            </w:r>
          </w:p>
        </w:tc>
        <w:tc>
          <w:tcPr>
            <w:tcW w:type="dxa" w:w="831"/>
          </w:tcPr>
          <w:p>
            <w:pPr>
              <w:pStyle w:val="null3"/>
              <w:jc w:val="right"/>
            </w:pPr>
            <w:r>
              <w:rPr>
                <w:rFonts w:ascii="仿宋_GB2312" w:hAnsi="仿宋_GB2312" w:cs="仿宋_GB2312" w:eastAsia="仿宋_GB2312"/>
              </w:rPr>
              <w:t>32.0000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投标方案说明书</w:t>
            </w:r>
          </w:p>
        </w:tc>
      </w:tr>
      <w:tr>
        <w:tc>
          <w:tcPr>
            <w:tcW w:type="dxa" w:w="831"/>
            <w:vMerge/>
          </w:tcPr>
          <w:p/>
        </w:tc>
        <w:tc>
          <w:tcPr>
            <w:tcW w:type="dxa" w:w="1661"/>
          </w:tcPr>
          <w:p>
            <w:pPr>
              <w:pStyle w:val="null3"/>
            </w:pPr>
            <w:r>
              <w:rPr>
                <w:rFonts w:ascii="仿宋_GB2312" w:hAnsi="仿宋_GB2312" w:cs="仿宋_GB2312" w:eastAsia="仿宋_GB2312"/>
              </w:rPr>
              <w:t>合法来源渠道</w:t>
            </w:r>
          </w:p>
        </w:tc>
        <w:tc>
          <w:tcPr>
            <w:tcW w:type="dxa" w:w="2492"/>
          </w:tcPr>
          <w:p>
            <w:pPr>
              <w:pStyle w:val="null3"/>
            </w:pPr>
            <w:r>
              <w:rPr>
                <w:rFonts w:ascii="仿宋_GB2312" w:hAnsi="仿宋_GB2312" w:cs="仿宋_GB2312" w:eastAsia="仿宋_GB2312"/>
              </w:rPr>
              <w:t>一、评审内容 提供所投产品合法来源渠道证明文件或说明，确保生产供应的设备无假货、水货、翻新货且无产权纠纷。 二、评审标准 1、如供应商为所投产品代理商：提供货物的合法来源渠道证明文件（例如：产品制造商授权、销售协议、代理协议等证明文件）。 2、如投标人为所投产品的制造商：需提供情况说明。 三、赋分依据（满分5分） 提供所有产品证明文件得5分，每少一项扣1分，扣完为止。 【以加盖投标人公章的证明材料复印件为计分依据】</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投标方案说明书</w:t>
            </w:r>
          </w:p>
        </w:tc>
      </w:tr>
      <w:tr>
        <w:tc>
          <w:tcPr>
            <w:tcW w:type="dxa" w:w="831"/>
            <w:vMerge/>
          </w:tcPr>
          <w:p/>
        </w:tc>
        <w:tc>
          <w:tcPr>
            <w:tcW w:type="dxa" w:w="1661"/>
          </w:tcPr>
          <w:p>
            <w:pPr>
              <w:pStyle w:val="null3"/>
            </w:pPr>
            <w:r>
              <w:rPr>
                <w:rFonts w:ascii="仿宋_GB2312" w:hAnsi="仿宋_GB2312" w:cs="仿宋_GB2312" w:eastAsia="仿宋_GB2312"/>
              </w:rPr>
              <w:t>设计方案</w:t>
            </w:r>
          </w:p>
        </w:tc>
        <w:tc>
          <w:tcPr>
            <w:tcW w:type="dxa" w:w="2492"/>
          </w:tcPr>
          <w:p>
            <w:pPr>
              <w:pStyle w:val="null3"/>
            </w:pPr>
            <w:r>
              <w:rPr>
                <w:rFonts w:ascii="仿宋_GB2312" w:hAnsi="仿宋_GB2312" w:cs="仿宋_GB2312" w:eastAsia="仿宋_GB2312"/>
              </w:rPr>
              <w:t>一、评审内容 根据项目需求提供高精度U型水槽设计方案。内容包含①设计图及各组成部件细节介绍②功能、结构设计方案：包含实用性及安全性。 二、评审标准 1、完整性：方案须全面，对评审内容中的各项要求有详细描述； 2、可实施性：切合本项目实际情况，方案清晰、合理； 3、针对性：方案紧扣项目实际情况，内容科学合理。 三、赋分依据（满分9分） ①设计图及各组成部件细节介绍：每完全满足一个评审标准得2分，满分6分； ②功能、结构设计方案:每完全满足一个评审标准得1分，满分3分。 内容有缺陷扣0.5分，缺项或未提供得0分。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投标方案说明书</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一、评审内容 根据项目实际需求，提供完整详细的项目实施方案。内容包含①供货运输方案②安装验收方案③人员配备。 二、评审标准 1、完整性：方案须全面，对评审内容中的各项要求有详细描述； 2、可实施性：切合本项目实际情况，实施步骤清晰、合理； 3、针对性：方案能够紧扣项目实际情况，内容科学合理。 三、赋分依据（满分9分） ①供货运输方案：每完全满足一个评审标准得1分，满分3分； ②安装验收方案:每完全满足一个评审标准得1分，满分3分； ③人员配备:每完全满足一个评审标准得1分，满分3分； 内容有缺陷扣0.5分，缺项或未提供得0分。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投标方案说明书</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提供2022年9月1日至今类似项目业绩（以合同签订日期为准），每份合格业绩合同计2分，满分6分。 【需提供业绩完整合同及对应货款发票复印件（任意一张），并加盖投标人公章，以上两种证明材料同时提供方可得分，否则不得分。】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近年业绩的有关证明材料</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一、评审内容 根据项目实际需求提供售后服务方案。内容包含①售后服务内容及保障措施②响应时间及方式③技术培训内容及效果保证措施 二、评审标准 1、完整性：方案须全面，对评审内容中的各项要求描述详细； 2、可实施性：切合本项目实际情况，实施步骤清晰、合理； 3、针对性：方案能够紧扣项目实际情况，内容科学合理。 三、赋分依据（满分9分） ①售后服务内容及保障措施：每完全满足一个评审标准得1分，满分3分； ②响应时间及方式:每完全满足一个评审标准得1分，满分3分； ③技术培训内容及效果保证措施：每完全满足一个评审标准得1分，满分3分； 内容有缺陷扣0.5分，缺项或未提供得0分。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投标方案说明书</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1、经初审合格的投标文件，通过符合性审查的投标报价为有效投标价。 2、有效最低报价为基准价得30分。 3、按（评标基准价/评审价格）×30的公式计算报价得分。 4、投标报价不完整的，不进入评标基准价的计算，本项得0分。 备注：①本项目专门面向中小企业采购，不再进行政策性扣减。②本项目不允许进口产品进行投标，全部为国产产品，不再进行价格折扣。</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响应分项报价表（采购包1）</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技术指标和配置</w:t>
            </w:r>
          </w:p>
        </w:tc>
        <w:tc>
          <w:tcPr>
            <w:tcW w:type="dxa" w:w="2492"/>
          </w:tcPr>
          <w:p>
            <w:pPr>
              <w:pStyle w:val="null3"/>
            </w:pPr>
            <w:r>
              <w:rPr>
                <w:rFonts w:ascii="仿宋_GB2312" w:hAnsi="仿宋_GB2312" w:cs="仿宋_GB2312" w:eastAsia="仿宋_GB2312"/>
              </w:rPr>
              <w:t>根据投标人提供的产品技术参数表及相应的证明材料，经评审专家审定得分。 完全符合、响应招标文件要求，没有负偏离的得32分；“▲”参数（共4项）负偏离一项扣4分，非“▲”参数负偏离一项扣1分，扣完为止。 【“▲”参数必须提供相应的证明材料（包括技术白皮书、检测报告、产品说明书、官网截图或功能截图任意一种技术支持性文件资料），经评审专家审定得分，未提供不得分。】</w:t>
            </w:r>
          </w:p>
        </w:tc>
        <w:tc>
          <w:tcPr>
            <w:tcW w:type="dxa" w:w="831"/>
          </w:tcPr>
          <w:p>
            <w:pPr>
              <w:pStyle w:val="null3"/>
              <w:jc w:val="right"/>
            </w:pPr>
            <w:r>
              <w:rPr>
                <w:rFonts w:ascii="仿宋_GB2312" w:hAnsi="仿宋_GB2312" w:cs="仿宋_GB2312" w:eastAsia="仿宋_GB2312"/>
              </w:rPr>
              <w:t>32.0000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投标方案说明书</w:t>
            </w:r>
          </w:p>
        </w:tc>
      </w:tr>
      <w:tr>
        <w:tc>
          <w:tcPr>
            <w:tcW w:type="dxa" w:w="831"/>
            <w:vMerge/>
          </w:tcPr>
          <w:p/>
        </w:tc>
        <w:tc>
          <w:tcPr>
            <w:tcW w:type="dxa" w:w="1661"/>
          </w:tcPr>
          <w:p>
            <w:pPr>
              <w:pStyle w:val="null3"/>
            </w:pPr>
            <w:r>
              <w:rPr>
                <w:rFonts w:ascii="仿宋_GB2312" w:hAnsi="仿宋_GB2312" w:cs="仿宋_GB2312" w:eastAsia="仿宋_GB2312"/>
              </w:rPr>
              <w:t>设计方案</w:t>
            </w:r>
          </w:p>
        </w:tc>
        <w:tc>
          <w:tcPr>
            <w:tcW w:type="dxa" w:w="2492"/>
          </w:tcPr>
          <w:p>
            <w:pPr>
              <w:pStyle w:val="null3"/>
            </w:pPr>
            <w:r>
              <w:rPr>
                <w:rFonts w:ascii="仿宋_GB2312" w:hAnsi="仿宋_GB2312" w:cs="仿宋_GB2312" w:eastAsia="仿宋_GB2312"/>
              </w:rPr>
              <w:t>一、评审内容 根据项目需求提供新型高位水箱管道系统设计方案。内容包含①设计图及各组成部件细节介绍②功能、结构设计方案：包含实用性及安全性。 二、评审标准 1、完整性：方案须全面，对评审内容中的各项要求有详细描述； 2、可实施性：切合本项目实际情况，方案清晰、合理； 3、针对性：方案紧扣项目实际情况，内容科学合理。 三、赋分依据（满分9分） ①设计图及各组成部件细节介绍：每完全满足一个评审标准得2分，满分6分； ②功能、结构设计方案:每完全满足一个评审标准得1分，满分3分。 内容有缺陷扣0.5分，缺项或未提供得0分。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投标方案说明书</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一、评审内容 根据项目实际需求，提供完整详细的项目实施方案。内容包含①供货运输方案②安装验收方案及人员配备③应急预案。 二、评审标准 1、完整性：方案须全面，对评审内容中的各项要求有详细描述； 2、可实施性：切合本项目实际情况，实施步骤清晰、合理； 3、针对性：方案能够紧扣项目实际情况，内容科学合理。 三、赋分依据（满分9分） ①供货运输方案：每完全满足一个评审标准得1分，满分3分； ②安装验收方案及人员配备:每完全满足一个评审标准得1分，满分3分； ③应急预案：每完全满足一个评审标准得1分，满分3分。 内容有缺陷扣0.5分，缺项或未提供得0分。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投标方案说明书</w:t>
            </w:r>
          </w:p>
        </w:tc>
      </w:tr>
      <w:tr>
        <w:tc>
          <w:tcPr>
            <w:tcW w:type="dxa" w:w="831"/>
            <w:vMerge/>
          </w:tcPr>
          <w:p/>
        </w:tc>
        <w:tc>
          <w:tcPr>
            <w:tcW w:type="dxa" w:w="1661"/>
          </w:tcPr>
          <w:p>
            <w:pPr>
              <w:pStyle w:val="null3"/>
            </w:pPr>
            <w:r>
              <w:rPr>
                <w:rFonts w:ascii="仿宋_GB2312" w:hAnsi="仿宋_GB2312" w:cs="仿宋_GB2312" w:eastAsia="仿宋_GB2312"/>
              </w:rPr>
              <w:t>技术培训</w:t>
            </w:r>
          </w:p>
        </w:tc>
        <w:tc>
          <w:tcPr>
            <w:tcW w:type="dxa" w:w="2492"/>
          </w:tcPr>
          <w:p>
            <w:pPr>
              <w:pStyle w:val="null3"/>
            </w:pPr>
            <w:r>
              <w:rPr>
                <w:rFonts w:ascii="仿宋_GB2312" w:hAnsi="仿宋_GB2312" w:cs="仿宋_GB2312" w:eastAsia="仿宋_GB2312"/>
              </w:rPr>
              <w:t>一、评审内容 根据项目实际需求提供培训方案。方案内容包含：①培训计划及内容（内容包括不限于所提供产品的原理和技术性能、操作维护方法、安装调试、排除故障等方面）②培训效果保证措施。 二、评审标准 1、完整性：方案全面，对评审内容中的各项要求描述详细； 2、可实施性：切合本项目实际情况，实施步骤清晰、合理，可操作性强； 3、针对性：方案能够紧扣项目实际情况，内容科学合理，符合实际需求。 三、赋分依据（满分6分） ①培训计划及内容：每完全满足一个评审标准得1分，满分3分； ②培训效果保证措施:每完全满足一个评审标准得1分，满分3分。 内容有缺陷扣0.5分，缺项或未提供得0分。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投标方案说明书</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一、评审内容 根据项目实际需求提供售后服务方案。内容包含①售后响应时间及方式②售后服务内容及保障措施。 二、评审标准 1、完整性：方案须全面，对评审内容中的各项要求描述详细； 2、可实施性：切合本项目实际情况，实施步骤清晰、合理； 3、针对性：方案能够紧扣项目实际情况，内容科学合理。 三、赋分依据（满分6分） ①售后响应时间及方式：每完全满足一个评审标准得1分，满分3分； ②售后服务内容及保障措施:每完全满足一个评审标准得1分，满分3分； 内容有缺陷扣0.5分，缺项或未提供得0分。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投标方案说明书</w:t>
            </w:r>
          </w:p>
        </w:tc>
      </w:tr>
      <w:tr>
        <w:tc>
          <w:tcPr>
            <w:tcW w:type="dxa" w:w="831"/>
            <w:vMerge/>
          </w:tcPr>
          <w:p/>
        </w:tc>
        <w:tc>
          <w:tcPr>
            <w:tcW w:type="dxa" w:w="1661"/>
          </w:tcPr>
          <w:p>
            <w:pPr>
              <w:pStyle w:val="null3"/>
            </w:pPr>
            <w:r>
              <w:rPr>
                <w:rFonts w:ascii="仿宋_GB2312" w:hAnsi="仿宋_GB2312" w:cs="仿宋_GB2312" w:eastAsia="仿宋_GB2312"/>
              </w:rPr>
              <w:t>质保期</w:t>
            </w:r>
          </w:p>
        </w:tc>
        <w:tc>
          <w:tcPr>
            <w:tcW w:type="dxa" w:w="2492"/>
          </w:tcPr>
          <w:p>
            <w:pPr>
              <w:pStyle w:val="null3"/>
            </w:pPr>
            <w:r>
              <w:rPr>
                <w:rFonts w:ascii="仿宋_GB2312" w:hAnsi="仿宋_GB2312" w:cs="仿宋_GB2312" w:eastAsia="仿宋_GB2312"/>
              </w:rPr>
              <w:t>质保期高于采购文件要求（2年）的，每增加一年得1分，最高得2分。无承诺不得分。 【提供承诺书并加盖公章】</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投标方案说明书</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提供2022年1月1日至今类似项目业绩（以合同签订日期为准），每份合格业绩合同计2分，满分6分。 【需提供业绩完整合同及对应货款发票复印件（任意一张），并加盖投标人公章，以上两种证明材料同时提供方可得分，否则不得分。】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近年业绩的有关证明材料</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1、经初审合格的投标文件，通过符合性审查的投标报价为有效投标价。 2、有效最低报价为基准价得30分。 3、按（评标基准价/评审价格）×30的公式计算报价得分。 4、投标报价不完整的，不进入评标基准价的计算，本项得0分。 备注：①本项目专门面向中小企业采购，不再进行政策性扣减。②本项目不允许进口产品进行投标，全部为国产产品，不再进行价格折扣。</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技术指标和配置</w:t>
            </w:r>
          </w:p>
        </w:tc>
        <w:tc>
          <w:tcPr>
            <w:tcW w:type="dxa" w:w="2492"/>
          </w:tcPr>
          <w:p>
            <w:pPr>
              <w:pStyle w:val="null3"/>
            </w:pPr>
            <w:r>
              <w:rPr>
                <w:rFonts w:ascii="仿宋_GB2312" w:hAnsi="仿宋_GB2312" w:cs="仿宋_GB2312" w:eastAsia="仿宋_GB2312"/>
              </w:rPr>
              <w:t>根据投标人提供的产品技术参数表及相应的证明材料，经评审专家审定得分。 完全符合、响应招标文件要求，没有负偏离的得30分；“▲”参数（共5项）负偏离一项扣3分，非“▲”参数负偏离一项扣1分，扣完为止。 【“▲”参数必须提供相应的证明材料（包括产品说明书、检测报告、官网或功能截图任意一种技术支持性文件资料，其中“▲系统兼容”需提供承诺书），经评审专家审定得分，未提供不得分。】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投标方案说明书</w:t>
            </w:r>
          </w:p>
          <w:p>
            <w:pPr>
              <w:pStyle w:val="null3"/>
            </w:pPr>
            <w:r>
              <w:rPr>
                <w:rFonts w:ascii="仿宋_GB2312" w:hAnsi="仿宋_GB2312" w:cs="仿宋_GB2312" w:eastAsia="仿宋_GB2312"/>
              </w:rPr>
              <w:t>产品技术参数表</w:t>
            </w:r>
          </w:p>
        </w:tc>
      </w:tr>
      <w:tr>
        <w:tc>
          <w:tcPr>
            <w:tcW w:type="dxa" w:w="831"/>
            <w:vMerge/>
          </w:tcPr>
          <w:p/>
        </w:tc>
        <w:tc>
          <w:tcPr>
            <w:tcW w:type="dxa" w:w="1661"/>
          </w:tcPr>
          <w:p>
            <w:pPr>
              <w:pStyle w:val="null3"/>
            </w:pPr>
            <w:r>
              <w:rPr>
                <w:rFonts w:ascii="仿宋_GB2312" w:hAnsi="仿宋_GB2312" w:cs="仿宋_GB2312" w:eastAsia="仿宋_GB2312"/>
              </w:rPr>
              <w:t>合法来源渠道</w:t>
            </w:r>
          </w:p>
        </w:tc>
        <w:tc>
          <w:tcPr>
            <w:tcW w:type="dxa" w:w="2492"/>
          </w:tcPr>
          <w:p>
            <w:pPr>
              <w:pStyle w:val="null3"/>
            </w:pPr>
            <w:r>
              <w:rPr>
                <w:rFonts w:ascii="仿宋_GB2312" w:hAnsi="仿宋_GB2312" w:cs="仿宋_GB2312" w:eastAsia="仿宋_GB2312"/>
              </w:rPr>
              <w:t>一、评审内容 提供所投产品（数据处理终端、声学流速探头、数据分析处理软件）合法来源渠道证明文件或说明，确保生产供应的设备无假货、水货、翻新货且无产权纠纷。 二、评审标准 1、如供应商为所投产品代理商：提供货物的合法来源渠道证明文件（例如：产品制造商授权、销售协议、代理协议等证明文件）。 2、如投标人为所投产品的制造商：需提供情况说明。 三、赋分依据（满分3分） 每提供一项产品证明文件得1分，满分3分。 【以加盖投标人公章的证明材料复印件为计分依据】</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投标方案说明书</w:t>
            </w:r>
          </w:p>
        </w:tc>
      </w:tr>
      <w:tr>
        <w:tc>
          <w:tcPr>
            <w:tcW w:type="dxa" w:w="831"/>
            <w:vMerge/>
          </w:tcPr>
          <w:p/>
        </w:tc>
        <w:tc>
          <w:tcPr>
            <w:tcW w:type="dxa" w:w="1661"/>
          </w:tcPr>
          <w:p>
            <w:pPr>
              <w:pStyle w:val="null3"/>
            </w:pPr>
            <w:r>
              <w:rPr>
                <w:rFonts w:ascii="仿宋_GB2312" w:hAnsi="仿宋_GB2312" w:cs="仿宋_GB2312" w:eastAsia="仿宋_GB2312"/>
              </w:rPr>
              <w:t>项目组织实施方案</w:t>
            </w:r>
          </w:p>
        </w:tc>
        <w:tc>
          <w:tcPr>
            <w:tcW w:type="dxa" w:w="2492"/>
          </w:tcPr>
          <w:p>
            <w:pPr>
              <w:pStyle w:val="null3"/>
            </w:pPr>
            <w:r>
              <w:rPr>
                <w:rFonts w:ascii="仿宋_GB2312" w:hAnsi="仿宋_GB2312" w:cs="仿宋_GB2312" w:eastAsia="仿宋_GB2312"/>
              </w:rPr>
              <w:t>一、评审内容 根据项目实际需求，提供完整详细的供货运输及安装验收实施方案。内容包含①方案实施计划②人员配置安排③时间进度安排 二、评审标准 1、完整性：方案全面，对评审内容中的各项要求有详细描述； 2、可实施性：切合本项目实际情况，实施步骤清晰、合理； 3、针对性：方案能够紧扣项目实际情况，内容科学合理。 三、赋分依据（满分9分） ①方案实施计划：每完全满足一个评审标准得1分，满分3分； ②人员配置安排:每完全满足一个评审标准得1分，满分3分； ③时间进度安排：每完全满足一个评审标准得1分，满分3分。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投标方案说明书</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一、评审内容 根据项目实际需求提供在产品使用、技术保障、工艺性能等方面的质量保证。内容包含①质量保证承诺②质量保证措施。 二、评审标准 1、完整性：方案全面，对评审内容中的各项要求描述详细； 2、可实施性：切合本项目实际情况，实施步骤清晰、合理； 3、针对性：方案能够紧扣项目实际情况，内容科学合理。 三、赋分依据（满分6分） ①质量保证承诺：每完全满足一个评审标准得1分，满分3分； ②质量保证措施：每完全满足一个评审标准得1分，满分3分。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投标方案说明书</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一、评审内容 根据项目实际需求提供售后服务方案。内容包含①售后服务内容及保障措施（包含不限于质保期限、质保范围、响应时间、应急处理等）②售后服务承诺。 二、评审标准 1、完整性：方案全面，对评审内容中的各项要求描述详细； 2、可实施性：切合本项目实际情况，实施步骤清晰、合理； 3、针对性：方案能够紧扣项目实际情况，内容科学合理。 三、赋分依据（满分6分） ①售后服务内容及保障措施：每完全满足一个评审标准得1分，满分3分； ②售后服务承诺:每完全满足一个评审标准得1分，满分3分。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投标方案说明书</w:t>
            </w:r>
          </w:p>
        </w:tc>
      </w:tr>
      <w:tr>
        <w:tc>
          <w:tcPr>
            <w:tcW w:type="dxa" w:w="831"/>
            <w:vMerge/>
          </w:tcPr>
          <w:p/>
        </w:tc>
        <w:tc>
          <w:tcPr>
            <w:tcW w:type="dxa" w:w="1661"/>
          </w:tcPr>
          <w:p>
            <w:pPr>
              <w:pStyle w:val="null3"/>
            </w:pPr>
            <w:r>
              <w:rPr>
                <w:rFonts w:ascii="仿宋_GB2312" w:hAnsi="仿宋_GB2312" w:cs="仿宋_GB2312" w:eastAsia="仿宋_GB2312"/>
              </w:rPr>
              <w:t>质保期</w:t>
            </w:r>
          </w:p>
        </w:tc>
        <w:tc>
          <w:tcPr>
            <w:tcW w:type="dxa" w:w="2492"/>
          </w:tcPr>
          <w:p>
            <w:pPr>
              <w:pStyle w:val="null3"/>
            </w:pPr>
            <w:r>
              <w:rPr>
                <w:rFonts w:ascii="仿宋_GB2312" w:hAnsi="仿宋_GB2312" w:cs="仿宋_GB2312" w:eastAsia="仿宋_GB2312"/>
              </w:rPr>
              <w:t>质保期高于招标文件要求（3年）的，每增加一年得1分，最高得2分。无承诺不得分。 【提供承诺书并加盖公章】</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投标方案说明书</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一、评审内容 根据项目实际需求提供培训方案。内容包含：①培训计划及内容（内容包括不限于所提供产品的原理和技术性能、操作维护方法、安装调试、排除故障等方面）②培训效果保证措施。 二、评审标准 1、完整性：方案全面，对评审内容中的各项要求描述详细； 2、可实施性：切合本项目实际情况，实施步骤清晰、合理，可操作性强； 3、针对性：方案能够紧扣项目实际情况，内容科学合理，符合实际需求。 三、赋分依据（满分6分） ①培训计划及内容：每完全满足一个评审标准得1分，满分3分； ②培训效果保证措施:每完全满足一个评审标准得1分，满分3分。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投标方案说明书</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提供2022年9月1日至今类似项目业绩，每份合格业绩合同计2分，满分8分。 【仅限投标人本身业绩，需提供合同复印件，时间以合同签订日期为准】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近年业绩的有关证明材料</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1、经初审合格的投标文件，通过符合性审查的投标报价为有效投标价。 2、有效最低报价为基准价得30分。 3、按（评标基准价/评审价格）×30的公式计算报价得分。 4、投标报价不完整的，不进入评标基准价的计算，本项得0分。 备注：①本项目专门面向中小企业采购，不再进行政策性扣减。②本项目不允许进口产品进行投标，全部为国产产品，不再进行价格折扣。</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详见附件：响应分项报价表（采购包1）</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详见附件：供应商资格要求格式</w:t>
      </w:r>
    </w:p>
    <w:p>
      <w:pPr>
        <w:pStyle w:val="null3"/>
        <w:ind w:firstLine="960"/>
      </w:pPr>
      <w:r>
        <w:rPr>
          <w:rFonts w:ascii="仿宋_GB2312" w:hAnsi="仿宋_GB2312" w:cs="仿宋_GB2312" w:eastAsia="仿宋_GB2312"/>
        </w:rPr>
        <w:t>详见附件：保证金缴纳凭证</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详见附件：商务条款偏离表</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详见附件：投标方案说明书</w:t>
      </w:r>
    </w:p>
    <w:p>
      <w:pPr>
        <w:pStyle w:val="null3"/>
        <w:ind w:firstLine="960"/>
      </w:pPr>
      <w:r>
        <w:rPr>
          <w:rFonts w:ascii="仿宋_GB2312" w:hAnsi="仿宋_GB2312" w:cs="仿宋_GB2312" w:eastAsia="仿宋_GB2312"/>
        </w:rPr>
        <w:t>详见附件：近年业绩的有关证明材料</w:t>
      </w:r>
    </w:p>
    <w:p>
      <w:pPr>
        <w:pStyle w:val="null3"/>
        <w:ind w:firstLine="960"/>
      </w:pPr>
      <w:r>
        <w:rPr>
          <w:rFonts w:ascii="仿宋_GB2312" w:hAnsi="仿宋_GB2312" w:cs="仿宋_GB2312" w:eastAsia="仿宋_GB2312"/>
        </w:rPr>
        <w:t>详见附件：供应商承诺书</w:t>
      </w:r>
    </w:p>
    <w:p>
      <w:pPr>
        <w:pStyle w:val="null3"/>
        <w:ind w:firstLine="960"/>
      </w:pPr>
      <w:r>
        <w:rPr>
          <w:rFonts w:ascii="仿宋_GB2312" w:hAnsi="仿宋_GB2312" w:cs="仿宋_GB2312" w:eastAsia="仿宋_GB2312"/>
        </w:rPr>
        <w:t>详见附件：供应商认为有必要补充说明的事项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详见附件：供应商资格要求格式</w:t>
      </w:r>
    </w:p>
    <w:p>
      <w:pPr>
        <w:pStyle w:val="null3"/>
        <w:ind w:firstLine="960"/>
      </w:pPr>
      <w:r>
        <w:rPr>
          <w:rFonts w:ascii="仿宋_GB2312" w:hAnsi="仿宋_GB2312" w:cs="仿宋_GB2312" w:eastAsia="仿宋_GB2312"/>
        </w:rPr>
        <w:t>详见附件：保证金缴纳凭证</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详见附件：商务条款偏离表</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详见附件：投标方案说明书</w:t>
      </w:r>
    </w:p>
    <w:p>
      <w:pPr>
        <w:pStyle w:val="null3"/>
        <w:ind w:firstLine="960"/>
      </w:pPr>
      <w:r>
        <w:rPr>
          <w:rFonts w:ascii="仿宋_GB2312" w:hAnsi="仿宋_GB2312" w:cs="仿宋_GB2312" w:eastAsia="仿宋_GB2312"/>
        </w:rPr>
        <w:t>详见附件：近年业绩的有关证明材料</w:t>
      </w:r>
    </w:p>
    <w:p>
      <w:pPr>
        <w:pStyle w:val="null3"/>
        <w:ind w:firstLine="960"/>
      </w:pPr>
      <w:r>
        <w:rPr>
          <w:rFonts w:ascii="仿宋_GB2312" w:hAnsi="仿宋_GB2312" w:cs="仿宋_GB2312" w:eastAsia="仿宋_GB2312"/>
        </w:rPr>
        <w:t>详见附件：供应商承诺书</w:t>
      </w:r>
    </w:p>
    <w:p>
      <w:pPr>
        <w:pStyle w:val="null3"/>
        <w:ind w:firstLine="960"/>
      </w:pPr>
      <w:r>
        <w:rPr>
          <w:rFonts w:ascii="仿宋_GB2312" w:hAnsi="仿宋_GB2312" w:cs="仿宋_GB2312" w:eastAsia="仿宋_GB2312"/>
        </w:rPr>
        <w:t>详见附件：供应商认为有必要补充说明的事项</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详见附件：供应商资格要求格式</w:t>
      </w:r>
    </w:p>
    <w:p>
      <w:pPr>
        <w:pStyle w:val="null3"/>
        <w:ind w:firstLine="960"/>
      </w:pPr>
      <w:r>
        <w:rPr>
          <w:rFonts w:ascii="仿宋_GB2312" w:hAnsi="仿宋_GB2312" w:cs="仿宋_GB2312" w:eastAsia="仿宋_GB2312"/>
        </w:rPr>
        <w:t>详见附件：保证金缴纳凭证</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详见附件：商务条款偏离表</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详见附件：投标方案说明书</w:t>
      </w:r>
    </w:p>
    <w:p>
      <w:pPr>
        <w:pStyle w:val="null3"/>
        <w:ind w:firstLine="960"/>
      </w:pPr>
      <w:r>
        <w:rPr>
          <w:rFonts w:ascii="仿宋_GB2312" w:hAnsi="仿宋_GB2312" w:cs="仿宋_GB2312" w:eastAsia="仿宋_GB2312"/>
        </w:rPr>
        <w:t>详见附件：近年业绩的有关证明材料</w:t>
      </w:r>
    </w:p>
    <w:p>
      <w:pPr>
        <w:pStyle w:val="null3"/>
        <w:ind w:firstLine="960"/>
      </w:pPr>
      <w:r>
        <w:rPr>
          <w:rFonts w:ascii="仿宋_GB2312" w:hAnsi="仿宋_GB2312" w:cs="仿宋_GB2312" w:eastAsia="仿宋_GB2312"/>
        </w:rPr>
        <w:t>详见附件：供应商承诺书</w:t>
      </w:r>
    </w:p>
    <w:p>
      <w:pPr>
        <w:pStyle w:val="null3"/>
        <w:ind w:firstLine="960"/>
      </w:pPr>
      <w:r>
        <w:rPr>
          <w:rFonts w:ascii="仿宋_GB2312" w:hAnsi="仿宋_GB2312" w:cs="仿宋_GB2312" w:eastAsia="仿宋_GB2312"/>
        </w:rPr>
        <w:t>详见附件：供应商认为有必要补充说明的事项</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详见附件：合同范本.docx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