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版本号：【KRDL】K4-260303420260331001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金花校区经纬苑学生宿舍楼项目方案及初步设计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【KRDL】K4-2603034</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金花校区经纬苑学生宿舍楼项目方案及初步设计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【KRDL】K4-2603034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金花校区经纬苑学生宿舍楼项目方案及初步设计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西安工程大学金花校区经纬苑学生宿舍楼项目拟建设总建筑面积约36000㎡，工程地点位于西安工程大学金花校区最南端，北邻现状操场，南邻长兴路，西临复聪路，东临新光巷， 拟用地面积11.968亩。主要建设学生宿舍楼，配套附属设施(包括普通机动车停车库、人防工程兼机动车停车库、设备用房等)，及道路、绿化、配套管网等室外工程。本次采购内容为在设计期限内完成本项目要求的方案设计、初步设计(含设计概算)及优化等内容，设计成果深度应满足国家、地方及行业标准，且完全响应采购人项目实际情况及进度需要，确保设计成果通过初步设计评审及相关审批手续办理，具体服务内容及要求详见本项目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同时拟派项目负责人未被列入“信用中国”网站的“重点领域严重失信主体名单”中的“安全生产严重失信主体名单（自然人）”；未被“中国执行信息公开网”列入失信被执行人。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3、供应商资质要求：供应商须具有建设行政主管部门颁发的【工程设计综合甲级资质】或【建筑行业工程设计甲级资质】或【建筑行业（建筑工程）专业设计甲级资质】，并在人员、设备、资金等方面具备相应的能力；</w:t>
      </w:r>
    </w:p>
    <w:p>
      <w:pPr>
        <w:pStyle w:val="null3"/>
      </w:pPr>
      <w:r>
        <w:rPr>
          <w:rFonts w:ascii="仿宋_GB2312" w:hAnsi="仿宋_GB2312" w:cs="仿宋_GB2312" w:eastAsia="仿宋_GB2312"/>
        </w:rPr>
        <w:t>4、拟派项目负责人要求：拟派项目设计负责人须具备【一级注册建筑师】执业资格，并在本单位登记注册；</w:t>
      </w:r>
    </w:p>
    <w:p>
      <w:pPr>
        <w:pStyle w:val="null3"/>
      </w:pPr>
      <w:r>
        <w:rPr>
          <w:rFonts w:ascii="仿宋_GB2312" w:hAnsi="仿宋_GB2312" w:cs="仿宋_GB2312" w:eastAsia="仿宋_GB2312"/>
        </w:rPr>
        <w:t>5、其他要求：供应商基本信息及拟派项目负责人信息须在“陕西省住房和城乡建设厅官网”可查询。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029-89581863、17320095323、17302920968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说明：（1）成交供应商凭中标（成交）通知书向采购人缴纳合同暂定总金额的5%作为履约保证金； （2）履约保证金应使用人民币，可选择使用银行转账、支票、汇票、本票或者金融机构、担保机构出具的保函等非现金形式缴纳或提交； （3）取得“省发改委关于经纬苑项目初步设计的批复”文件后，成交供应商提出书面申请，采购人将履约保证金（无息）退还成交供应商。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代理服务费收费标准：参照国家计委颁布的《招标代理服务收费管理暂行办法》（计价格[2002]1980号）及发改办价格[2003]857号文件标准向采购代理机构一次付清代理服务费。 备注：在对采购代理服务费转账时需备注项目名称+采购代理服务费。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西安工程大学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联系人：代光艳、路坦</w:t>
      </w:r>
    </w:p>
    <w:p>
      <w:pPr>
        <w:pStyle w:val="null3"/>
      </w:pPr>
      <w:r>
        <w:rPr>
          <w:rFonts w:ascii="仿宋_GB2312" w:hAnsi="仿宋_GB2312" w:cs="仿宋_GB2312" w:eastAsia="仿宋_GB2312"/>
        </w:rPr>
        <w:t>联系电话：029-89581863、17320095323、17302920968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西安工程大学金花校区经纬苑学生宿舍楼项目拟建设总建筑面积约36000㎡，工程地点位于西安工程大学金花校区最南端，北邻现状操场，南邻长兴路，西临复聪路，东临新光巷， 拟用地面积11.968亩。主要建设学生宿舍楼，配套附属设施(包括普通机动车停车库、人防工程兼机动车停车库、设备用房等)，及道路、绿化、配套管网等室外工程。本次采购内容为在设计期限内完成本项目要求的方案设计、初步设计(含设计概算)及优化等内容，设计成果深度应满足国家、地方及行业标准，且完全响应采购人项目实际情况及进度需要，确保设计成果通过初步设计评审及相关审批手续办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金花校区经纬苑学生宿舍楼项目方案及初步设计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标的名称：金花校区经纬苑学生宿舍楼项目方案及初步设计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1"/>
                <w:b/>
              </w:rPr>
              <w:t>一、项目概况</w:t>
            </w:r>
          </w:p>
          <w:p>
            <w:pPr>
              <w:pStyle w:val="null3"/>
              <w:ind w:firstLine="480"/>
              <w:jc w:val="both"/>
            </w:pPr>
            <w:r>
              <w:rPr>
                <w:rFonts w:ascii="仿宋_GB2312" w:hAnsi="仿宋_GB2312" w:cs="仿宋_GB2312" w:eastAsia="仿宋_GB2312"/>
                <w:sz w:val="21"/>
              </w:rPr>
              <w:t>西安工程大学金花校区经纬苑学生宿舍楼项目位于西安工程大学金花校区最南端，北邻现状操场，南邻长兴路，西临复聪路，东临新光巷，</w:t>
            </w:r>
            <w:r>
              <w:rPr>
                <w:rFonts w:ascii="仿宋_GB2312" w:hAnsi="仿宋_GB2312" w:cs="仿宋_GB2312" w:eastAsia="仿宋_GB2312"/>
                <w:sz w:val="21"/>
              </w:rPr>
              <w:t>拟用地面积</w:t>
            </w:r>
            <w:r>
              <w:rPr>
                <w:rFonts w:ascii="仿宋_GB2312" w:hAnsi="仿宋_GB2312" w:cs="仿宋_GB2312" w:eastAsia="仿宋_GB2312"/>
                <w:sz w:val="21"/>
              </w:rPr>
              <w:t>11.968亩。项目规划总建筑面积约36000平方米，主要建设学生宿舍楼1栋，配套附属设施(包括普通机动车停车库、人防工程兼机动车停车库、设备用房等)，及道路、绿化、配套管网等室外工程。</w:t>
            </w:r>
          </w:p>
          <w:p>
            <w:pPr>
              <w:pStyle w:val="null3"/>
              <w:ind w:firstLine="482"/>
              <w:jc w:val="both"/>
            </w:pPr>
            <w:r>
              <w:rPr>
                <w:rFonts w:ascii="仿宋_GB2312" w:hAnsi="仿宋_GB2312" w:cs="仿宋_GB2312" w:eastAsia="仿宋_GB2312"/>
                <w:sz w:val="21"/>
                <w:b/>
              </w:rPr>
              <w:t>二、设计标准</w:t>
            </w:r>
          </w:p>
          <w:p>
            <w:pPr>
              <w:pStyle w:val="null3"/>
              <w:ind w:firstLine="480"/>
              <w:jc w:val="left"/>
            </w:pPr>
            <w:r>
              <w:rPr>
                <w:rFonts w:ascii="仿宋_GB2312" w:hAnsi="仿宋_GB2312" w:cs="仿宋_GB2312" w:eastAsia="仿宋_GB2312"/>
                <w:sz w:val="21"/>
              </w:rPr>
              <w:t>主要设计标准、规范及技术要求（包含但不限于下表所列规范、规程、标准，各项标准均应符合现行标准）</w:t>
            </w:r>
          </w:p>
          <w:p>
            <w:pPr>
              <w:pStyle w:val="null3"/>
              <w:ind w:firstLine="480"/>
              <w:jc w:val="both"/>
            </w:pPr>
            <w:r>
              <w:rPr>
                <w:rFonts w:ascii="仿宋_GB2312" w:hAnsi="仿宋_GB2312" w:cs="仿宋_GB2312" w:eastAsia="仿宋_GB2312"/>
                <w:sz w:val="21"/>
              </w:rPr>
              <w:t>1.《宿舍、旅馆建筑项目规范》(GB55025-2022)</w:t>
            </w:r>
          </w:p>
          <w:p>
            <w:pPr>
              <w:pStyle w:val="null3"/>
              <w:ind w:firstLine="480"/>
              <w:jc w:val="both"/>
            </w:pPr>
            <w:r>
              <w:rPr>
                <w:rFonts w:ascii="仿宋_GB2312" w:hAnsi="仿宋_GB2312" w:cs="仿宋_GB2312" w:eastAsia="仿宋_GB2312"/>
                <w:sz w:val="21"/>
              </w:rPr>
              <w:t>2.《宿舍建筑设计规范》(JGJ36-2016)</w:t>
            </w:r>
          </w:p>
          <w:p>
            <w:pPr>
              <w:pStyle w:val="null3"/>
              <w:ind w:firstLine="480"/>
              <w:jc w:val="both"/>
            </w:pPr>
            <w:r>
              <w:rPr>
                <w:rFonts w:ascii="仿宋_GB2312" w:hAnsi="仿宋_GB2312" w:cs="仿宋_GB2312" w:eastAsia="仿宋_GB2312"/>
                <w:sz w:val="21"/>
              </w:rPr>
              <w:t>3.《民用建筑通用规范》(GB 55031- 2022)</w:t>
            </w:r>
          </w:p>
          <w:p>
            <w:pPr>
              <w:pStyle w:val="null3"/>
              <w:ind w:firstLine="480"/>
              <w:jc w:val="both"/>
            </w:pPr>
            <w:r>
              <w:rPr>
                <w:rFonts w:ascii="仿宋_GB2312" w:hAnsi="仿宋_GB2312" w:cs="仿宋_GB2312" w:eastAsia="仿宋_GB2312"/>
                <w:sz w:val="21"/>
              </w:rPr>
              <w:t>4.《建筑防火通用规范》(GB 55037-2022)</w:t>
            </w:r>
          </w:p>
          <w:p>
            <w:pPr>
              <w:pStyle w:val="null3"/>
              <w:ind w:firstLine="480"/>
              <w:jc w:val="both"/>
            </w:pPr>
            <w:r>
              <w:rPr>
                <w:rFonts w:ascii="仿宋_GB2312" w:hAnsi="仿宋_GB2312" w:cs="仿宋_GB2312" w:eastAsia="仿宋_GB2312"/>
                <w:sz w:val="21"/>
              </w:rPr>
              <w:t>5.《建筑设计防火规范》GB50016-2014（2018版）</w:t>
            </w:r>
          </w:p>
          <w:p>
            <w:pPr>
              <w:pStyle w:val="null3"/>
              <w:ind w:firstLine="480"/>
              <w:jc w:val="both"/>
            </w:pPr>
            <w:r>
              <w:rPr>
                <w:rFonts w:ascii="仿宋_GB2312" w:hAnsi="仿宋_GB2312" w:cs="仿宋_GB2312" w:eastAsia="仿宋_GB2312"/>
                <w:sz w:val="21"/>
              </w:rPr>
              <w:t>6.《汽车库建筑设计规范》(JGJ100-2015)</w:t>
            </w:r>
          </w:p>
          <w:p>
            <w:pPr>
              <w:pStyle w:val="null3"/>
              <w:ind w:firstLine="480"/>
              <w:jc w:val="both"/>
            </w:pPr>
            <w:r>
              <w:rPr>
                <w:rFonts w:ascii="仿宋_GB2312" w:hAnsi="仿宋_GB2312" w:cs="仿宋_GB2312" w:eastAsia="仿宋_GB2312"/>
                <w:sz w:val="21"/>
              </w:rPr>
              <w:t>7.《汽车库、修车库、停车场设计防火规范》（GB 50067-2014）</w:t>
            </w:r>
          </w:p>
          <w:p>
            <w:pPr>
              <w:pStyle w:val="null3"/>
              <w:ind w:firstLine="480"/>
              <w:jc w:val="both"/>
            </w:pPr>
            <w:r>
              <w:rPr>
                <w:rFonts w:ascii="仿宋_GB2312" w:hAnsi="仿宋_GB2312" w:cs="仿宋_GB2312" w:eastAsia="仿宋_GB2312"/>
                <w:sz w:val="21"/>
              </w:rPr>
              <w:t>8.《建筑内部装修设计防火规范》（GB50222-2017）</w:t>
            </w:r>
          </w:p>
          <w:p>
            <w:pPr>
              <w:pStyle w:val="null3"/>
              <w:ind w:firstLine="480"/>
              <w:jc w:val="both"/>
            </w:pPr>
            <w:r>
              <w:rPr>
                <w:rFonts w:ascii="仿宋_GB2312" w:hAnsi="仿宋_GB2312" w:cs="仿宋_GB2312" w:eastAsia="仿宋_GB2312"/>
                <w:sz w:val="21"/>
              </w:rPr>
              <w:t>9.《建筑与市政工程无障碍通用规范》(GB 55019- 2021)</w:t>
            </w:r>
          </w:p>
          <w:p>
            <w:pPr>
              <w:pStyle w:val="null3"/>
              <w:ind w:firstLine="480"/>
              <w:jc w:val="both"/>
            </w:pPr>
            <w:r>
              <w:rPr>
                <w:rFonts w:ascii="仿宋_GB2312" w:hAnsi="仿宋_GB2312" w:cs="仿宋_GB2312" w:eastAsia="仿宋_GB2312"/>
                <w:sz w:val="21"/>
              </w:rPr>
              <w:t>10.《建筑节能与可再生能源利用通用规范》(GB 55015-2021)</w:t>
            </w:r>
          </w:p>
          <w:p>
            <w:pPr>
              <w:pStyle w:val="null3"/>
              <w:ind w:firstLine="480"/>
              <w:jc w:val="both"/>
            </w:pPr>
            <w:r>
              <w:rPr>
                <w:rFonts w:ascii="仿宋_GB2312" w:hAnsi="仿宋_GB2312" w:cs="仿宋_GB2312" w:eastAsia="仿宋_GB2312"/>
                <w:sz w:val="21"/>
              </w:rPr>
              <w:t>11.国家现行有效的有关建设项目管理、施工及验收规范和验收标准，以及项目主管部门批准的文件等。</w:t>
            </w:r>
          </w:p>
          <w:p>
            <w:pPr>
              <w:pStyle w:val="null3"/>
              <w:ind w:firstLine="482"/>
              <w:jc w:val="both"/>
            </w:pPr>
            <w:r>
              <w:rPr>
                <w:rFonts w:ascii="仿宋_GB2312" w:hAnsi="仿宋_GB2312" w:cs="仿宋_GB2312" w:eastAsia="仿宋_GB2312"/>
                <w:sz w:val="21"/>
                <w:b/>
              </w:rPr>
              <w:t>三、设计服务内容及要求</w:t>
            </w:r>
          </w:p>
          <w:p>
            <w:pPr>
              <w:pStyle w:val="null3"/>
              <w:ind w:firstLine="482"/>
              <w:jc w:val="both"/>
            </w:pPr>
            <w:r>
              <w:rPr>
                <w:rFonts w:ascii="仿宋_GB2312" w:hAnsi="仿宋_GB2312" w:cs="仿宋_GB2312" w:eastAsia="仿宋_GB2312"/>
                <w:sz w:val="21"/>
                <w:b/>
              </w:rPr>
              <w:t>（一）设计服务范围</w:t>
            </w:r>
          </w:p>
          <w:p>
            <w:pPr>
              <w:pStyle w:val="null3"/>
              <w:ind w:firstLine="480"/>
              <w:jc w:val="both"/>
            </w:pPr>
            <w:r>
              <w:rPr>
                <w:rFonts w:ascii="仿宋_GB2312" w:hAnsi="仿宋_GB2312" w:cs="仿宋_GB2312" w:eastAsia="仿宋_GB2312"/>
                <w:sz w:val="21"/>
              </w:rPr>
              <w:t>根据竞争性磋商文件和《建筑工程设计文件编制深度规</w:t>
            </w:r>
            <w:r>
              <w:rPr>
                <w:rFonts w:ascii="仿宋_GB2312" w:hAnsi="仿宋_GB2312" w:cs="仿宋_GB2312" w:eastAsia="仿宋_GB2312"/>
                <w:sz w:val="21"/>
              </w:rPr>
              <w:t>定</w:t>
            </w:r>
            <w:r>
              <w:rPr>
                <w:rFonts w:ascii="仿宋_GB2312" w:hAnsi="仿宋_GB2312" w:cs="仿宋_GB2312" w:eastAsia="仿宋_GB2312"/>
                <w:sz w:val="21"/>
              </w:rPr>
              <w:t>(2016 版)》相关要求，在设计期限内完成本项目招标范围的方案设计、初步设计（含</w:t>
            </w:r>
            <w:r>
              <w:rPr>
                <w:rFonts w:ascii="仿宋_GB2312" w:hAnsi="仿宋_GB2312" w:cs="仿宋_GB2312" w:eastAsia="仿宋_GB2312"/>
                <w:sz w:val="21"/>
              </w:rPr>
              <w:t>设计概算）及优化。包括但不限于：规划建设土地内相关建筑物、构筑物的有关建筑、结构、给水排水（包含地下管网）、暖通空调、建筑电气、弱电（含有线电视、电话等管线预留设计）、消防、人防、防雷、室内外管网、总图专业、节能、环保、绿色建筑等的初步设计、编制初步设计概算等，</w:t>
            </w:r>
            <w:r>
              <w:rPr>
                <w:rFonts w:ascii="仿宋_GB2312" w:hAnsi="仿宋_GB2312" w:cs="仿宋_GB2312" w:eastAsia="仿宋_GB2312"/>
                <w:sz w:val="21"/>
              </w:rPr>
              <w:t>包含方案设计、初步设计、后续技术配合服务等在内的所有设计任务。</w:t>
            </w:r>
          </w:p>
          <w:p>
            <w:pPr>
              <w:pStyle w:val="null3"/>
              <w:ind w:firstLine="482"/>
              <w:jc w:val="both"/>
            </w:pPr>
            <w:r>
              <w:rPr>
                <w:rFonts w:ascii="仿宋_GB2312" w:hAnsi="仿宋_GB2312" w:cs="仿宋_GB2312" w:eastAsia="仿宋_GB2312"/>
                <w:sz w:val="21"/>
                <w:b/>
              </w:rPr>
              <w:t>（二）设计原则及要求</w:t>
            </w:r>
          </w:p>
          <w:p>
            <w:pPr>
              <w:pStyle w:val="null3"/>
              <w:ind w:firstLine="482"/>
              <w:jc w:val="both"/>
            </w:pPr>
            <w:r>
              <w:rPr>
                <w:rFonts w:ascii="仿宋_GB2312" w:hAnsi="仿宋_GB2312" w:cs="仿宋_GB2312" w:eastAsia="仿宋_GB2312"/>
                <w:sz w:val="21"/>
                <w:b/>
              </w:rPr>
              <w:t>1.设计原则</w:t>
            </w:r>
          </w:p>
          <w:p>
            <w:pPr>
              <w:pStyle w:val="null3"/>
              <w:ind w:firstLine="480"/>
              <w:jc w:val="both"/>
            </w:pPr>
            <w:r>
              <w:rPr>
                <w:rFonts w:ascii="仿宋_GB2312" w:hAnsi="仿宋_GB2312" w:cs="仿宋_GB2312" w:eastAsia="仿宋_GB2312"/>
                <w:sz w:val="21"/>
              </w:rPr>
              <w:t>本项目立足于西安工程大学的发展规划，本着项目建设实施的可行性、持久性、实效性原则，通过本项目的建设，完善金花校区现有的功能，提高住宿条件、优化功能设置、改善管理水平和满足学生成长发展等方面的需求，为学生提供一个安全、舒适、便利的住宿环境，促进学生的学习和成长。</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1）充分利用现状，因地制宜规划。利用地形现状与形状，与周边校园道路相协调。</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2）功能明确，布局合理。规划功能区明确，布局合理，尽量符合项目的功能布局，满足人流、物流的需求，创造和谐的环境和气氛。</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3）科学合理，适度超前。规划应本着满足现在、着眼将来，近期与远期发展相结合，适当超前，弹性灵活的原则。</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4）合理规划建设规模，节约利用土地。在符合土地控制指标前提下，提高土地利用率。</w:t>
            </w:r>
          </w:p>
          <w:p>
            <w:pPr>
              <w:pStyle w:val="null3"/>
              <w:ind w:firstLine="482"/>
              <w:jc w:val="both"/>
            </w:pPr>
            <w:r>
              <w:rPr>
                <w:rFonts w:ascii="仿宋_GB2312" w:hAnsi="仿宋_GB2312" w:cs="仿宋_GB2312" w:eastAsia="仿宋_GB2312"/>
                <w:sz w:val="21"/>
                <w:b/>
              </w:rPr>
              <w:t>2.设计要求</w:t>
            </w:r>
          </w:p>
          <w:p>
            <w:pPr>
              <w:pStyle w:val="null3"/>
              <w:ind w:firstLine="482"/>
              <w:jc w:val="both"/>
            </w:pPr>
            <w:r>
              <w:rPr>
                <w:rFonts w:ascii="仿宋_GB2312" w:hAnsi="仿宋_GB2312" w:cs="仿宋_GB2312" w:eastAsia="仿宋_GB2312"/>
                <w:sz w:val="21"/>
                <w:b/>
              </w:rPr>
              <w:t>2.1建筑专业要求</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1）合理的整体规划</w:t>
            </w:r>
          </w:p>
          <w:p>
            <w:pPr>
              <w:pStyle w:val="null3"/>
              <w:ind w:firstLine="480"/>
              <w:jc w:val="both"/>
            </w:pPr>
            <w:r>
              <w:rPr>
                <w:rFonts w:ascii="仿宋_GB2312" w:hAnsi="仿宋_GB2312" w:cs="仿宋_GB2312" w:eastAsia="仿宋_GB2312"/>
                <w:sz w:val="21"/>
              </w:rPr>
              <w:t>建设单体建筑通过合理的整体布局，充分利用自然通风、采光，满足使用舒适性同时减少能耗。</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2）统一的建筑风格</w:t>
            </w:r>
          </w:p>
          <w:p>
            <w:pPr>
              <w:pStyle w:val="null3"/>
              <w:ind w:firstLine="480"/>
              <w:jc w:val="both"/>
            </w:pPr>
            <w:r>
              <w:rPr>
                <w:rFonts w:ascii="仿宋_GB2312" w:hAnsi="仿宋_GB2312" w:cs="仿宋_GB2312" w:eastAsia="仿宋_GB2312"/>
                <w:sz w:val="21"/>
              </w:rPr>
              <w:t>建筑整体必须符合城市规划管控要求，结合学生宿舍的功能属性塑造具备自身特性的建筑风格，与周边环境协调统一，做到自然和谐、美观大方，充分体现现代化学生宿舍的特色；宿舍楼立面设计必须延续校园现存建筑风貌，与校园整体规划风格保持统一，在围合形式、立面风格、屋顶形式上做好延续与呼应。建筑场地须在东侧与西南角分别设置人行及车行入口，外立面主体材料采用真石漆涂料，确保与校园整体风貌协调一致。</w:t>
            </w:r>
          </w:p>
          <w:p>
            <w:pPr>
              <w:pStyle w:val="null3"/>
              <w:ind w:firstLine="482"/>
              <w:jc w:val="both"/>
            </w:pPr>
            <w:r>
              <w:rPr>
                <w:rFonts w:ascii="仿宋_GB2312" w:hAnsi="仿宋_GB2312" w:cs="仿宋_GB2312" w:eastAsia="仿宋_GB2312"/>
                <w:sz w:val="21"/>
                <w:b/>
              </w:rPr>
              <w:t>2.2结构专业要求</w:t>
            </w:r>
          </w:p>
          <w:p>
            <w:pPr>
              <w:pStyle w:val="null3"/>
              <w:ind w:firstLine="480"/>
              <w:jc w:val="both"/>
            </w:pPr>
            <w:r>
              <w:rPr>
                <w:rFonts w:ascii="仿宋_GB2312" w:hAnsi="仿宋_GB2312" w:cs="仿宋_GB2312" w:eastAsia="仿宋_GB2312"/>
                <w:sz w:val="21"/>
              </w:rPr>
              <w:t>结构设计需满足国家、陕西省及西安市现行结构设计规范要求，确保结构设计技术先进、安全可靠。需满足建筑功能要求，结构布置、结构构件尺寸需与建筑使用功能相适应，避免竖向构件局部突出影响使用，水平构件影响层高等。结构设计经济合理，结构体系受力明确，传力简洁。结构使用年限</w:t>
            </w:r>
            <w:r>
              <w:rPr>
                <w:rFonts w:ascii="仿宋_GB2312" w:hAnsi="仿宋_GB2312" w:cs="仿宋_GB2312" w:eastAsia="仿宋_GB2312"/>
                <w:sz w:val="21"/>
              </w:rPr>
              <w:t>50年，基本风压、基本雪压、活载标准值按现行规范，恒载标准值待建筑使用需求确定后确定。主体结构采用钢筋混凝土剪力墙结构，地下部分采用钢筋混凝土框架结构，楼板拟采用装配式钢筋桁架楼承板。屋面考虑上人屋面，考虑空调冷凝水管装饰;</w:t>
            </w:r>
          </w:p>
          <w:p>
            <w:pPr>
              <w:pStyle w:val="null3"/>
              <w:ind w:firstLine="482"/>
              <w:jc w:val="both"/>
            </w:pPr>
            <w:r>
              <w:rPr>
                <w:rFonts w:ascii="仿宋_GB2312" w:hAnsi="仿宋_GB2312" w:cs="仿宋_GB2312" w:eastAsia="仿宋_GB2312"/>
                <w:sz w:val="21"/>
                <w:b/>
              </w:rPr>
              <w:t>2.3给排水专业要求</w:t>
            </w:r>
          </w:p>
          <w:p>
            <w:pPr>
              <w:pStyle w:val="null3"/>
              <w:ind w:firstLine="480"/>
              <w:jc w:val="both"/>
            </w:pPr>
            <w:r>
              <w:rPr>
                <w:rFonts w:ascii="仿宋_GB2312" w:hAnsi="仿宋_GB2312" w:cs="仿宋_GB2312" w:eastAsia="仿宋_GB2312"/>
                <w:sz w:val="21"/>
              </w:rPr>
              <w:t>给水水源由市政给水管网供给，给水压力</w:t>
            </w:r>
            <w:r>
              <w:rPr>
                <w:rFonts w:ascii="仿宋_GB2312" w:hAnsi="仿宋_GB2312" w:cs="仿宋_GB2312" w:eastAsia="仿宋_GB2312"/>
                <w:sz w:val="21"/>
              </w:rPr>
              <w:t>0.18MPa，由场地西侧复聪路上引入1路DN100给水管供给。排水采用雨、污分流制，雨水经收集后排入校区雨水管网;室内生活污、废水采用合流制，经室外化粪池处理后排至校区污水管网。地下室废水经排水明沟汇集至集水坑，由潜污泵提升后，排至室外雨水井内。污水干管沿宿舍楼外轮廓敷设，设有效容积化粪池，满足污水排放要求，污水经化粪池处理后排至校区操场西南角出入口南侧的市政管网。屋面雨水均采用重力外排水方式，排至室外周边绿地。消防用水由地下消防水池和消防水泵提供，设室外消火栓系统、室内消火栓系统、自动喷水灭火系统、气体灭火系统及建筑灭火器等。</w:t>
            </w:r>
          </w:p>
          <w:p>
            <w:pPr>
              <w:pStyle w:val="null3"/>
              <w:ind w:firstLine="482"/>
              <w:jc w:val="both"/>
            </w:pPr>
            <w:r>
              <w:rPr>
                <w:rFonts w:ascii="仿宋_GB2312" w:hAnsi="仿宋_GB2312" w:cs="仿宋_GB2312" w:eastAsia="仿宋_GB2312"/>
                <w:sz w:val="21"/>
                <w:b/>
              </w:rPr>
              <w:t>2.4暖通专业要求</w:t>
            </w:r>
          </w:p>
          <w:p>
            <w:pPr>
              <w:pStyle w:val="null3"/>
              <w:ind w:firstLine="480"/>
              <w:jc w:val="both"/>
            </w:pPr>
            <w:r>
              <w:rPr>
                <w:rFonts w:ascii="仿宋_GB2312" w:hAnsi="仿宋_GB2312" w:cs="仿宋_GB2312" w:eastAsia="仿宋_GB2312"/>
                <w:sz w:val="21"/>
              </w:rPr>
              <w:t>本项目设计范围为换热站及红线内室外热力管网、室内供暖、空调、通风</w:t>
            </w:r>
            <w:r>
              <w:rPr>
                <w:rFonts w:ascii="仿宋_GB2312" w:hAnsi="仿宋_GB2312" w:cs="仿宋_GB2312" w:eastAsia="仿宋_GB2312"/>
                <w:sz w:val="21"/>
              </w:rPr>
              <w:t>(含人防通风)、防排烟系统。本项目冬季供暖热源为市政热网。供暖热源由市政热源经地下室换热站换热后提供，供回水温度75/50°C。供暖系统采用垂直双管上供下回同程式，散热器供暖。夏季预留分体式空调制冷，需设计分体空调室外挂机的位置及装饰柜。</w:t>
            </w:r>
          </w:p>
          <w:p>
            <w:pPr>
              <w:pStyle w:val="null3"/>
              <w:ind w:firstLine="482"/>
              <w:jc w:val="both"/>
            </w:pPr>
            <w:r>
              <w:rPr>
                <w:rFonts w:ascii="仿宋_GB2312" w:hAnsi="仿宋_GB2312" w:cs="仿宋_GB2312" w:eastAsia="仿宋_GB2312"/>
                <w:sz w:val="21"/>
                <w:b/>
              </w:rPr>
              <w:t>2.5电气专业要求</w:t>
            </w:r>
          </w:p>
          <w:p>
            <w:pPr>
              <w:pStyle w:val="null3"/>
              <w:ind w:firstLine="480"/>
              <w:jc w:val="both"/>
            </w:pPr>
            <w:r>
              <w:rPr>
                <w:rFonts w:ascii="仿宋_GB2312" w:hAnsi="仿宋_GB2312" w:cs="仿宋_GB2312" w:eastAsia="仿宋_GB2312"/>
                <w:sz w:val="21"/>
              </w:rPr>
              <w:t>高、低压变配电系统、电力、照明系统、防雷接地及安全系统、电气消防系统等。供电电源由校区开闭所引入一路</w:t>
            </w:r>
            <w:r>
              <w:rPr>
                <w:rFonts w:ascii="仿宋_GB2312" w:hAnsi="仿宋_GB2312" w:cs="仿宋_GB2312" w:eastAsia="仿宋_GB2312"/>
                <w:sz w:val="21"/>
              </w:rPr>
              <w:t>10kV高压电缆至地下一层变配电室，高压配电系统10KV侧使用单母线接线。变压器低压系统采用单母线分段运行方式。采用单母线分段运行方式的变压器之间设母联开关，母联开关手动投入。两台变压器分励脱扣操作电源采用交叉式供电。自动切换开关具有可靠的电气/机械连锁装置，确保两路市电不并网运行。</w:t>
            </w:r>
          </w:p>
          <w:p>
            <w:pPr>
              <w:pStyle w:val="null3"/>
              <w:ind w:firstLine="482"/>
              <w:jc w:val="both"/>
            </w:pPr>
            <w:r>
              <w:rPr>
                <w:rFonts w:ascii="仿宋_GB2312" w:hAnsi="仿宋_GB2312" w:cs="仿宋_GB2312" w:eastAsia="仿宋_GB2312"/>
                <w:sz w:val="21"/>
                <w:b/>
              </w:rPr>
              <w:t>2.6</w:t>
            </w:r>
            <w:r>
              <w:rPr>
                <w:rFonts w:ascii="仿宋_GB2312" w:hAnsi="仿宋_GB2312" w:cs="仿宋_GB2312" w:eastAsia="仿宋_GB2312"/>
                <w:sz w:val="21"/>
                <w:b/>
              </w:rPr>
              <w:t>室外总体设计要求</w:t>
            </w:r>
          </w:p>
          <w:p>
            <w:pPr>
              <w:pStyle w:val="null3"/>
              <w:ind w:firstLine="480"/>
              <w:jc w:val="both"/>
            </w:pPr>
            <w:r>
              <w:rPr>
                <w:rFonts w:ascii="仿宋_GB2312" w:hAnsi="仿宋_GB2312" w:cs="仿宋_GB2312" w:eastAsia="仿宋_GB2312"/>
                <w:sz w:val="21"/>
              </w:rPr>
              <w:t>包含雨水、污水排水系统、给水及热力管网，强电及弱电管网，室外智能化管网，建筑周边道路及地坪，景观及绿化用地设计等全部内容。</w:t>
            </w:r>
          </w:p>
          <w:p>
            <w:pPr>
              <w:pStyle w:val="null3"/>
              <w:ind w:firstLine="482"/>
              <w:jc w:val="both"/>
            </w:pPr>
            <w:r>
              <w:rPr>
                <w:rFonts w:ascii="仿宋_GB2312" w:hAnsi="仿宋_GB2312" w:cs="仿宋_GB2312" w:eastAsia="仿宋_GB2312"/>
                <w:sz w:val="21"/>
                <w:b/>
              </w:rPr>
              <w:t>2.</w:t>
            </w:r>
            <w:r>
              <w:rPr>
                <w:rFonts w:ascii="仿宋_GB2312" w:hAnsi="仿宋_GB2312" w:cs="仿宋_GB2312" w:eastAsia="仿宋_GB2312"/>
                <w:sz w:val="21"/>
                <w:b/>
              </w:rPr>
              <w:t>7</w:t>
            </w:r>
            <w:r>
              <w:rPr>
                <w:rFonts w:ascii="仿宋_GB2312" w:hAnsi="仿宋_GB2312" w:cs="仿宋_GB2312" w:eastAsia="仿宋_GB2312"/>
                <w:sz w:val="21"/>
                <w:b/>
              </w:rPr>
              <w:t>绿化建筑方案要求</w:t>
            </w:r>
          </w:p>
          <w:p>
            <w:pPr>
              <w:pStyle w:val="null3"/>
              <w:ind w:firstLine="480"/>
              <w:jc w:val="both"/>
            </w:pPr>
            <w:r>
              <w:rPr>
                <w:rFonts w:ascii="仿宋_GB2312" w:hAnsi="仿宋_GB2312" w:cs="仿宋_GB2312" w:eastAsia="仿宋_GB2312"/>
                <w:sz w:val="21"/>
              </w:rPr>
              <w:t>满足西安市绿色建筑管理办法及相关规定。</w:t>
            </w:r>
          </w:p>
          <w:p>
            <w:pPr>
              <w:pStyle w:val="null3"/>
              <w:ind w:firstLine="482"/>
              <w:jc w:val="both"/>
            </w:pPr>
            <w:r>
              <w:rPr>
                <w:rFonts w:ascii="仿宋_GB2312" w:hAnsi="仿宋_GB2312" w:cs="仿宋_GB2312" w:eastAsia="仿宋_GB2312"/>
                <w:sz w:val="21"/>
                <w:b/>
              </w:rPr>
              <w:t>3.其他要求</w:t>
            </w:r>
          </w:p>
          <w:p>
            <w:pPr>
              <w:pStyle w:val="null3"/>
              <w:ind w:firstLine="482"/>
              <w:jc w:val="both"/>
            </w:pPr>
            <w:r>
              <w:rPr>
                <w:rFonts w:ascii="仿宋_GB2312" w:hAnsi="仿宋_GB2312" w:cs="仿宋_GB2312" w:eastAsia="仿宋_GB2312"/>
                <w:sz w:val="21"/>
                <w:b/>
              </w:rPr>
              <w:t>3.1设计服务阶段</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1）供应商须无条件按照采购人的修改意见或深化设计意见进行修改或深化设计，采购人不再支付由此产生的所有费用。</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2）供应商应向采购人提供最终方案设计估算且不增加任何费用。</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3）涉及有关设备设计时，供应商需要和设备厂家积极配合。</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4）如设计内容涉及专业设计资质且成交供应商无相应资质的，成交供应商需要委托具备相应资质的单位进行设计，并报采购人备案；相关费用包含在响应报价中，采购人不再另行支付。</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5）本项目初步设计、方案设计需满足相关规划部门、发改委及相关政府管理职能部门的审批、验收、备案要求。</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6）设计深度应按照《建筑工程设计文件编制深度规定 (2016 版)》(建质函 [2016] 247 号) 执行。</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7）设计方案应切合实际，达到技术先进、安全可靠、经济合理、方便施工。设计文件必须完整、准确、详尽、规范。</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8）供应商应按国务院《建设工程质量管理条例》有关规定承担本项目的设计质量责任。</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9）设计方案必须符合采购人的意图和要求、建设地块的修建性详细规划要求和国家现行设计规范及有关技术标准的规定。当采购人或审批部门依据规划文件或有关标准、规范对设计方案提出异议时，供应商应在设计范围内进行调整。</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10）工程设计文件必须保证工程质量和施工安全等方面的要求，按照有关法律法规规定在工程设计文件中提出保障施工作业人员安全和预防生产安全事故的措施建议。</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11）供应商应根据法律、技术标准要求，保证房屋建筑工程的合理使用寿命年限，并应在工程设计文件中注明相应的合理使用寿命年限。</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12）在采购人所提供的设计资料 (含设计确认单、规划部门批文、政府各部门批文等) 能满足供应商进行各阶段设计的前提下开始计算各阶段的设计时间，上述设计时间包括法定的节假日。</w:t>
            </w:r>
          </w:p>
          <w:p>
            <w:pPr>
              <w:pStyle w:val="null3"/>
              <w:ind w:firstLine="482"/>
              <w:jc w:val="both"/>
            </w:pPr>
            <w:r>
              <w:rPr>
                <w:rFonts w:ascii="仿宋_GB2312" w:hAnsi="仿宋_GB2312" w:cs="仿宋_GB2312" w:eastAsia="仿宋_GB2312"/>
                <w:sz w:val="21"/>
                <w:b/>
              </w:rPr>
              <w:t>3.2后续技术配合阶段</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1）供应商应与施工图设计单位良好交底，及时对施工图设计等过程中与设计有关的问题做出回应，保证设计满足后续设计及施工要求；</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2）根据采购人要求，及时参加与设计有关的专题会，解释解决技术问题；</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3）协助采购人处理工程洽商，负责有关设计修改；</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4）供应商应参与相关的必要的验收以及项目竣工验收等工作；</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5）供应商应提供产品选型、设备加工订货、建筑材料选择以及分包商考察等技术咨询工作；</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6）协助采购人进行后续设计或工程的招标配合及答疑。</w:t>
            </w:r>
          </w:p>
          <w:p>
            <w:pPr>
              <w:pStyle w:val="null3"/>
              <w:ind w:firstLine="482"/>
              <w:jc w:val="both"/>
            </w:pPr>
            <w:r>
              <w:rPr>
                <w:rFonts w:ascii="仿宋_GB2312" w:hAnsi="仿宋_GB2312" w:cs="仿宋_GB2312" w:eastAsia="仿宋_GB2312"/>
                <w:sz w:val="21"/>
                <w:b/>
              </w:rPr>
              <w:t>（三）最终成果要求及其他事项</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供应商提交设计文件、图纸的同时，必须一并提供其不可修改的电子文档。</w:t>
            </w:r>
          </w:p>
          <w:p>
            <w:pPr>
              <w:pStyle w:val="null3"/>
              <w:ind w:firstLine="480"/>
              <w:jc w:val="both"/>
            </w:pPr>
            <w:r>
              <w:rPr>
                <w:rFonts w:ascii="仿宋_GB2312" w:hAnsi="仿宋_GB2312" w:cs="仿宋_GB2312" w:eastAsia="仿宋_GB2312"/>
                <w:sz w:val="21"/>
              </w:rPr>
              <w:t>2.供应商应向采购人交付的成果文件份数及格式要求</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1）方案设计文件纸质版6份装订成册；</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2）初步设计文件8份装订成册；</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3）方案设计、初步设计文件电子版各一套（电子版格式为：CAD 格式及 PDF 格式）；</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4）设计概算文件8份装订成册；</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5）初步设计文件 (含概算编制)，8份；</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6）全套初步设计成果文件电子文档，4份。</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7）供应商应按照采购人要求提供图文资料，包含：设计说明书、方案图册（包含：总平面图、功能示意图、交通组织分析图、建筑平立剖图、鸟瞰图、透视图等效果图）等。</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8）图纸交付地点：采购人指定地点；供应商提供电子版设计文件，不得对电子版设计文件</w:t>
            </w:r>
            <w:r>
              <w:rPr>
                <w:rFonts w:ascii="仿宋_GB2312" w:hAnsi="仿宋_GB2312" w:cs="仿宋_GB2312" w:eastAsia="仿宋_GB2312"/>
                <w:sz w:val="21"/>
              </w:rPr>
              <w:t>采取加密、设置访问权限、限制使用等保护措施。</w:t>
            </w:r>
          </w:p>
          <w:p>
            <w:pPr>
              <w:pStyle w:val="null3"/>
              <w:ind w:firstLine="482"/>
              <w:jc w:val="both"/>
            </w:pPr>
            <w:r>
              <w:rPr>
                <w:rFonts w:ascii="仿宋_GB2312" w:hAnsi="仿宋_GB2312" w:cs="仿宋_GB2312" w:eastAsia="仿宋_GB2312"/>
                <w:sz w:val="21"/>
                <w:b/>
              </w:rPr>
              <w:t>四、</w:t>
            </w:r>
            <w:r>
              <w:rPr>
                <w:rFonts w:ascii="仿宋_GB2312" w:hAnsi="仿宋_GB2312" w:cs="仿宋_GB2312" w:eastAsia="仿宋_GB2312"/>
                <w:sz w:val="21"/>
                <w:b/>
              </w:rPr>
              <w:t>项目地块位置示意图</w:t>
            </w:r>
          </w:p>
          <w:p>
            <w:pPr>
              <w:pStyle w:val="null3"/>
              <w:ind w:firstLine="420"/>
              <w:jc w:val="both"/>
            </w:pPr>
            <w:r>
              <w:rPr>
                <w:rFonts w:ascii="仿宋_GB2312" w:hAnsi="仿宋_GB2312" w:cs="仿宋_GB2312" w:eastAsia="仿宋_GB2312"/>
                <w:sz w:val="21"/>
              </w:rPr>
              <w:t>详见附件《</w:t>
            </w:r>
            <w:r>
              <w:rPr>
                <w:rFonts w:ascii="仿宋_GB2312" w:hAnsi="仿宋_GB2312" w:cs="仿宋_GB2312" w:eastAsia="仿宋_GB2312"/>
                <w:sz w:val="21"/>
              </w:rPr>
              <w:t>西安工程大学金花校区经纬苑学生宿舍楼项目（地形图）</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自合同签订之日起30个日历日内完成方案及初步设计、编制概算，并配合完成初步设计与概算评审，办理相关审批手续。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合同签订后采购人向成交供应商支付合同总价（暂定）的10%；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初步设计 (含概算) 完成后经采购人确认后支付合同总价（暂定）的40%；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初步设计经专家评审通过，并将最终版成果交付采购人确认后支付合同总价（暂定）的20%；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供应商配合施工图设计单位完成施工图设计出图后支付合同总价（暂定）剩余的30%，建筑面积以施工图审查合格后的建筑面积为准，最终设计费以施工图审查合格后的建筑面积*成交单价金额（包含本项目响应报价范围内所有的费用）据实结算，最终结算总金额不超过本项目采购预算金额，采购人付款前，成交供应商应向采购人开具合法等额的增值税发票。成交供应商逾期未提供发票或提供发票不符合采购人要求的，采购人有权顺延付款时间且不承担任何违约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预算为人民币柒拾贰万元整（￥720000.00元），单平方米设计费最高限价为人民币贰拾元整/平方米（20.00元/㎡），本项目以36000㎡作为暂定建筑面积，评审时以响应总价（暂定）金额进行评审。各供应商在投标时综合考虑，自主填报设计费总报价（暂定）和单平方米设计费金额，但不得超出本项目的上述规定的最高限价金额，否则将按照无效磋商处理。 2.供应商所填报的响应报价（总价及单价）应是完成本项目设计服务范围内所需服务的全部费用，包括：规划建设土地内相关建筑物、构筑物的有关建筑、结构、给水排水（包含地下管网）、暖通空调、建筑电气、弱电（含有线电视、电话等管线预留设计）、消防、人防、防雷、室内外管网、总图专业、节能、环保、绿色建筑等的初步设计、编制初步设计概算等，包含方案设计、初步设计、后续技术配合服务等在内的所有设计任务所需的全部费用，供应商在填报响应报价时应综合考虑在内，如未考虑的，视为已包含在本次响应报价中，采购人不再另行支付。 3.供应商需要在线提交所有通过电子化交易平台实施的政府采购项目的响应文件，同时，线下提交纸质响应文件正本壹份、副本壹份，纸质响应文件正副本分别胶装，标明供应商名称密封递交，递交截止时间同在线递交电子响应文件截止时间一致，线下递交文件地点：开瑞项目管理有限公司（陕西省西安市莲湖区高新二路1号招商银行大厦19层，联系人：路坦、代光艳，联系电话：17320095323、17302920968）,若电子响应文件与纸质响应文件不一致的，以电子响应文件为准。 4.响应保证金注意事项 （1）响应保证金须从供应商户名支付，如从个人户名或非供应商户名支付，将被拒绝，视为自动放弃投标权利（该个人是供应商的情形除外）；供应商保证金缴纳时间：开标时间之前；以保函形式交纳响应保证金的，供应商应在投标截止时间前将保函上传至政府采购电子化交易平台，同时将保函扫描成清晰的PDF文件，发送至邮箱lutan2@qq.com（邮件命名：项目名称+项目编号）；供应商应在响应文件中附保函复印件。保函必须由具有开具投标保函资格的单位开具；若供应商违约，开具保函单位承担连带责任； （2）响应保证金的提交金额、时间不满足采购文件要求的，响应无效。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供应商应提供的资格证明材料.docx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同时拟派项目负责人未被列入“信用中国”网站的“重点领域严重失信主体名单”中的“安全生产严重失信主体名单（自然人）”；未被“中国执行信息公开网”列入失信被执行人。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供应商应提供的资格证明材料.docx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供应商须具有建设行政主管部门颁发的【工程设计综合甲级资质】或【建筑行业工程设计甲级资质】或【建筑行业（建筑工程）专业设计甲级资质】，并在人员、设备、资金等方面具备相应的能力；</w:t>
            </w:r>
          </w:p>
        </w:tc>
        <w:tc>
          <w:tcPr>
            <w:tcW w:type="dxa" w:w="1661"/>
          </w:tcPr>
          <w:p>
            <w:pPr>
              <w:pStyle w:val="null3"/>
            </w:pPr>
            <w:r>
              <w:rPr>
                <w:rFonts w:ascii="仿宋_GB2312" w:hAnsi="仿宋_GB2312" w:cs="仿宋_GB2312" w:eastAsia="仿宋_GB2312"/>
              </w:rPr>
              <w:t>供应商应提供的资格证明材料.docx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拟派项目设计负责人须具备【一级注册建筑师】执业资格，并在本单位登记注册；</w:t>
            </w:r>
          </w:p>
        </w:tc>
        <w:tc>
          <w:tcPr>
            <w:tcW w:type="dxa" w:w="1661"/>
          </w:tcPr>
          <w:p>
            <w:pPr>
              <w:pStyle w:val="null3"/>
            </w:pPr>
            <w:r>
              <w:rPr>
                <w:rFonts w:ascii="仿宋_GB2312" w:hAnsi="仿宋_GB2312" w:cs="仿宋_GB2312" w:eastAsia="仿宋_GB2312"/>
              </w:rPr>
              <w:t>供应商应提供的资格证明材料.docx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供应商基本信息及拟派项目负责人信息须在“陕西省住房和城乡建设厅官网”可查询。</w:t>
            </w:r>
          </w:p>
        </w:tc>
        <w:tc>
          <w:tcPr>
            <w:tcW w:type="dxa" w:w="1661"/>
          </w:tcPr>
          <w:p>
            <w:pPr>
              <w:pStyle w:val="null3"/>
            </w:pPr>
            <w:r>
              <w:rPr>
                <w:rFonts w:ascii="仿宋_GB2312" w:hAnsi="仿宋_GB2312" w:cs="仿宋_GB2312" w:eastAsia="仿宋_GB2312"/>
              </w:rPr>
              <w:t>供应商应提供的资格证明材料.docx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分项报价清单.docx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按竞争性磋商文件要求签署、盖章的</w:t>
            </w:r>
          </w:p>
        </w:tc>
        <w:tc>
          <w:tcPr>
            <w:tcW w:type="dxa" w:w="1661"/>
          </w:tcPr>
          <w:p>
            <w:pPr>
              <w:pStyle w:val="null3"/>
            </w:pPr>
            <w:r>
              <w:rPr>
                <w:rFonts w:ascii="仿宋_GB2312" w:hAnsi="仿宋_GB2312" w:cs="仿宋_GB2312" w:eastAsia="仿宋_GB2312"/>
              </w:rPr>
              <w:t>供应商应提供的资格证明材料.docx 设计服务承诺及后续工作配合措施方案.docx 分项报价清单.docx 服务开展的组织措施及制度.docx 中小企业声明函 商务应答表 企业业绩.docx 服务内容及服务要求应答表 报价表 整体服务的思路及要点.docx 项目部人员构成人员.docx 供应商应授权合法的人员参加本项目竞争性磋商活动全过程证明资料.docx 响应文件封面 设计服务开展的流程及规范.docx 拟派项目设计负责人.docx 设计服务质量的保障措施.docx 增值服务.docx 设计服务方案.docx 残疾人福利性单位声明函 标的清单 响应函 监狱企业的证明文件 经济技术指标及设计限额控制方案.docx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分项报价清单.docx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供应商应提供的资格证明材料.docx 设计服务承诺及后续工作配合措施方案.docx 分项报价清单.docx 服务开展的组织措施及制度.docx 中小企业声明函 商务应答表 企业业绩.docx 服务内容及服务要求应答表 整体服务的思路及要点.docx 报价表 项目部人员构成人员.docx 供应商应授权合法的人员参加本项目竞争性磋商活动全过程证明资料.docx 设计服务开展的流程及规范.docx 拟派项目设计负责人.docx 响应文件封面 设计服务质量的保障措施.docx 增值服务.docx 设计服务方案.docx 残疾人福利性单位声明函 标的清单 响应函 经济技术指标及设计限额控制方案.docx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供应商应提供的资格证明材料.docx 设计服务承诺及后续工作配合措施方案.docx 分项报价清单.docx 服务开展的组织措施及制度.docx 中小企业声明函 商务应答表 企业业绩.docx 服务内容及服务要求应答表 报价表 整体服务的思路及要点.docx 项目部人员构成人员.docx 供应商应授权合法的人员参加本项目竞争性磋商活动全过程证明资料.docx 响应文件封面 设计服务开展的流程及规范.docx 拟派项目设计负责人.docx 设计服务质量的保障措施.docx 增值服务.docx 设计服务方案.docx 残疾人福利性单位声明函 标的清单 响应函 监狱企业的证明文件 经济技术指标及设计限额控制方案.docx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供应商应授权合法的人员参加本项目竞争性磋商活动全过程证明资料.docx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供应商提供自2023年01月01日至本项目响应文件递交截止时间前的类似房屋建筑工程设计业绩证明材料，每提供1项得1分，最多得5分。未提供的或所提供资料不符合要求的不得分。 评审依据：提供合同的复印件或扫描件加盖公章，时间以合同签订时间为准。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拟派项目设计负责人1</w:t>
            </w:r>
          </w:p>
        </w:tc>
        <w:tc>
          <w:tcPr>
            <w:tcW w:type="dxa" w:w="2492"/>
          </w:tcPr>
          <w:p>
            <w:pPr>
              <w:pStyle w:val="null3"/>
            </w:pPr>
            <w:r>
              <w:rPr>
                <w:rFonts w:ascii="仿宋_GB2312" w:hAnsi="仿宋_GB2312" w:cs="仿宋_GB2312" w:eastAsia="仿宋_GB2312"/>
              </w:rPr>
              <w:t>1.拟派项目设计负责人职称 拟派项目设计负责人具备高级专业技术职称的得3分，其余情况不得分。 评审依据：评审时以供应商提供的拟派项目设计负责人最高职称证书的扫描件或复印件为准，提供多个职称证明材料的，以最高职称材料为准，未提供的不得分。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拟派项目设计负责人.docx</w:t>
            </w:r>
          </w:p>
        </w:tc>
      </w:tr>
      <w:tr>
        <w:tc>
          <w:tcPr>
            <w:tcW w:type="dxa" w:w="831"/>
            <w:vMerge/>
          </w:tcPr>
          <w:p/>
        </w:tc>
        <w:tc>
          <w:tcPr>
            <w:tcW w:type="dxa" w:w="1661"/>
          </w:tcPr>
          <w:p>
            <w:pPr>
              <w:pStyle w:val="null3"/>
            </w:pPr>
            <w:r>
              <w:rPr>
                <w:rFonts w:ascii="仿宋_GB2312" w:hAnsi="仿宋_GB2312" w:cs="仿宋_GB2312" w:eastAsia="仿宋_GB2312"/>
              </w:rPr>
              <w:t>拟派项目设计负责人2</w:t>
            </w:r>
          </w:p>
        </w:tc>
        <w:tc>
          <w:tcPr>
            <w:tcW w:type="dxa" w:w="2492"/>
          </w:tcPr>
          <w:p>
            <w:pPr>
              <w:pStyle w:val="null3"/>
            </w:pPr>
            <w:r>
              <w:rPr>
                <w:rFonts w:ascii="仿宋_GB2312" w:hAnsi="仿宋_GB2312" w:cs="仿宋_GB2312" w:eastAsia="仿宋_GB2312"/>
              </w:rPr>
              <w:t>2.拟派项目设计负责人业绩 供应商提供自2023年01月01日至本项目响应文件递交截止时间前类似房屋建筑工程设计业绩证明材料，每提供1项得3分，最多得3分。未提供的不得分。 评审依据：提供合同的复印件或扫描件，时间以合同签订时间为准。上述证明文件中须体现项目设计负责人的姓名。（拟派设计项目负责人业绩与企业业绩可重复计分）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拟派项目设计负责人.docx</w:t>
            </w:r>
          </w:p>
        </w:tc>
      </w:tr>
      <w:tr>
        <w:tc>
          <w:tcPr>
            <w:tcW w:type="dxa" w:w="831"/>
            <w:vMerge/>
          </w:tcPr>
          <w:p/>
        </w:tc>
        <w:tc>
          <w:tcPr>
            <w:tcW w:type="dxa" w:w="1661"/>
          </w:tcPr>
          <w:p>
            <w:pPr>
              <w:pStyle w:val="null3"/>
            </w:pPr>
            <w:r>
              <w:rPr>
                <w:rFonts w:ascii="仿宋_GB2312" w:hAnsi="仿宋_GB2312" w:cs="仿宋_GB2312" w:eastAsia="仿宋_GB2312"/>
              </w:rPr>
              <w:t>项目部人员构成人员1</w:t>
            </w:r>
          </w:p>
        </w:tc>
        <w:tc>
          <w:tcPr>
            <w:tcW w:type="dxa" w:w="2492"/>
          </w:tcPr>
          <w:p>
            <w:pPr>
              <w:pStyle w:val="null3"/>
            </w:pPr>
            <w:r>
              <w:rPr>
                <w:rFonts w:ascii="仿宋_GB2312" w:hAnsi="仿宋_GB2312" w:cs="仿宋_GB2312" w:eastAsia="仿宋_GB2312"/>
              </w:rPr>
              <w:t>1.满足以下全部要求专业人员的得5分，提供不全或者未提供不得分。除项目设计负责人外，至少还应配备注册结构工程师1人、注册建筑师1人、注册给排水工程师1人、注册暖通工程师1人、注册电气工程师1人、造价工程师1人、景观工程相关专业技术人员1人。 评审依据：注册类提供身份证及相应专业注册证书，其余应提供身份证及相应职称证书或毕业证书或其它相关证明材料，评审时以供应商提供的证明材料复印件或扫描件为准，未提供以上资料或提供不全的相应人员及资料不予认定和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项目部人员构成人员.docx</w:t>
            </w:r>
          </w:p>
        </w:tc>
      </w:tr>
      <w:tr>
        <w:tc>
          <w:tcPr>
            <w:tcW w:type="dxa" w:w="831"/>
            <w:vMerge/>
          </w:tcPr>
          <w:p/>
        </w:tc>
        <w:tc>
          <w:tcPr>
            <w:tcW w:type="dxa" w:w="1661"/>
          </w:tcPr>
          <w:p>
            <w:pPr>
              <w:pStyle w:val="null3"/>
            </w:pPr>
            <w:r>
              <w:rPr>
                <w:rFonts w:ascii="仿宋_GB2312" w:hAnsi="仿宋_GB2312" w:cs="仿宋_GB2312" w:eastAsia="仿宋_GB2312"/>
              </w:rPr>
              <w:t>项目部人员构成人员2</w:t>
            </w:r>
          </w:p>
        </w:tc>
        <w:tc>
          <w:tcPr>
            <w:tcW w:type="dxa" w:w="2492"/>
          </w:tcPr>
          <w:p>
            <w:pPr>
              <w:pStyle w:val="null3"/>
            </w:pPr>
            <w:r>
              <w:rPr>
                <w:rFonts w:ascii="仿宋_GB2312" w:hAnsi="仿宋_GB2312" w:cs="仿宋_GB2312" w:eastAsia="仿宋_GB2312"/>
              </w:rPr>
              <w:t>2.在满足上述基本人员配备的基础上每增加1位注册人员加0.5分，最多加2分； 评审依据：提供身份证和相应专业注册证书，评审时以供应商提供的证书复印件或扫描件为准，未提供以上资料的相应人员不予认定和赋分。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项目部人员构成人员.docx</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供应商提供的整体服务的思路及要点需包含①核心需求把握度；②重难点深度分析；③需求适配针对性，共3项内容，每项满分3分，总分9分。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整体服务的思路及要点.docx</w:t>
            </w:r>
          </w:p>
        </w:tc>
      </w:tr>
      <w:tr>
        <w:tc>
          <w:tcPr>
            <w:tcW w:type="dxa" w:w="831"/>
            <w:vMerge/>
          </w:tcPr>
          <w:p/>
        </w:tc>
        <w:tc>
          <w:tcPr>
            <w:tcW w:type="dxa" w:w="1661"/>
          </w:tcPr>
          <w:p>
            <w:pPr>
              <w:pStyle w:val="null3"/>
            </w:pPr>
            <w:r>
              <w:rPr>
                <w:rFonts w:ascii="仿宋_GB2312" w:hAnsi="仿宋_GB2312" w:cs="仿宋_GB2312" w:eastAsia="仿宋_GB2312"/>
              </w:rPr>
              <w:t>设计服务方案</w:t>
            </w:r>
          </w:p>
        </w:tc>
        <w:tc>
          <w:tcPr>
            <w:tcW w:type="dxa" w:w="2492"/>
          </w:tcPr>
          <w:p>
            <w:pPr>
              <w:pStyle w:val="null3"/>
            </w:pPr>
            <w:r>
              <w:rPr>
                <w:rFonts w:ascii="仿宋_GB2312" w:hAnsi="仿宋_GB2312" w:cs="仿宋_GB2312" w:eastAsia="仿宋_GB2312"/>
              </w:rPr>
              <w:t>供应商提供的设计服务方案需包含①总体规划设计方案；②建筑风格设计方案；③各个专业设计功能方案，共3项内容，每项满分3分，总分9分。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设计服务方案.docx</w:t>
            </w:r>
          </w:p>
        </w:tc>
      </w:tr>
      <w:tr>
        <w:tc>
          <w:tcPr>
            <w:tcW w:type="dxa" w:w="831"/>
            <w:vMerge/>
          </w:tcPr>
          <w:p/>
        </w:tc>
        <w:tc>
          <w:tcPr>
            <w:tcW w:type="dxa" w:w="1661"/>
          </w:tcPr>
          <w:p>
            <w:pPr>
              <w:pStyle w:val="null3"/>
            </w:pPr>
            <w:r>
              <w:rPr>
                <w:rFonts w:ascii="仿宋_GB2312" w:hAnsi="仿宋_GB2312" w:cs="仿宋_GB2312" w:eastAsia="仿宋_GB2312"/>
              </w:rPr>
              <w:t>经济技术指标及设计限额控制方案</w:t>
            </w:r>
          </w:p>
        </w:tc>
        <w:tc>
          <w:tcPr>
            <w:tcW w:type="dxa" w:w="2492"/>
          </w:tcPr>
          <w:p>
            <w:pPr>
              <w:pStyle w:val="null3"/>
            </w:pPr>
            <w:r>
              <w:rPr>
                <w:rFonts w:ascii="仿宋_GB2312" w:hAnsi="仿宋_GB2312" w:cs="仿宋_GB2312" w:eastAsia="仿宋_GB2312"/>
              </w:rPr>
              <w:t>供应商提供的经济技术指标及设计限额控制方案需包含①建筑技术指标方案；②工程投资估算方案；③经济分析方案，共3项内容，每项满分3分，总分9分。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经济技术指标及设计限额控制方案.docx</w:t>
            </w:r>
          </w:p>
        </w:tc>
      </w:tr>
      <w:tr>
        <w:tc>
          <w:tcPr>
            <w:tcW w:type="dxa" w:w="831"/>
            <w:vMerge/>
          </w:tcPr>
          <w:p/>
        </w:tc>
        <w:tc>
          <w:tcPr>
            <w:tcW w:type="dxa" w:w="1661"/>
          </w:tcPr>
          <w:p>
            <w:pPr>
              <w:pStyle w:val="null3"/>
            </w:pPr>
            <w:r>
              <w:rPr>
                <w:rFonts w:ascii="仿宋_GB2312" w:hAnsi="仿宋_GB2312" w:cs="仿宋_GB2312" w:eastAsia="仿宋_GB2312"/>
              </w:rPr>
              <w:t>设计服务承诺及后续工作配合措施方案</w:t>
            </w:r>
          </w:p>
        </w:tc>
        <w:tc>
          <w:tcPr>
            <w:tcW w:type="dxa" w:w="2492"/>
          </w:tcPr>
          <w:p>
            <w:pPr>
              <w:pStyle w:val="null3"/>
            </w:pPr>
            <w:r>
              <w:rPr>
                <w:rFonts w:ascii="仿宋_GB2312" w:hAnsi="仿宋_GB2312" w:cs="仿宋_GB2312" w:eastAsia="仿宋_GB2312"/>
              </w:rPr>
              <w:t>供应商提供的设计服务承诺及后续工作配合措施方案需包含①修改深化服务承诺；②技术交底与配合方案；③技术咨询与验收配合方案，共3项内容，每项满分3分，总分9分。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设计服务承诺及后续工作配合措施方案.docx</w:t>
            </w:r>
          </w:p>
        </w:tc>
      </w:tr>
      <w:tr>
        <w:tc>
          <w:tcPr>
            <w:tcW w:type="dxa" w:w="831"/>
            <w:vMerge/>
          </w:tcPr>
          <w:p/>
        </w:tc>
        <w:tc>
          <w:tcPr>
            <w:tcW w:type="dxa" w:w="1661"/>
          </w:tcPr>
          <w:p>
            <w:pPr>
              <w:pStyle w:val="null3"/>
            </w:pPr>
            <w:r>
              <w:rPr>
                <w:rFonts w:ascii="仿宋_GB2312" w:hAnsi="仿宋_GB2312" w:cs="仿宋_GB2312" w:eastAsia="仿宋_GB2312"/>
              </w:rPr>
              <w:t>设计服务质量的保障措施</w:t>
            </w:r>
          </w:p>
        </w:tc>
        <w:tc>
          <w:tcPr>
            <w:tcW w:type="dxa" w:w="2492"/>
          </w:tcPr>
          <w:p>
            <w:pPr>
              <w:pStyle w:val="null3"/>
            </w:pPr>
            <w:r>
              <w:rPr>
                <w:rFonts w:ascii="仿宋_GB2312" w:hAnsi="仿宋_GB2312" w:cs="仿宋_GB2312" w:eastAsia="仿宋_GB2312"/>
              </w:rPr>
              <w:t>供应商提供的设计服务质量保障措施方案需包含①核心环节质量管控措施；②整改机制；③后期设计优化配合服务体系，共3项内容，每项满分3分，总分9分。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设计服务质量的保障措施.docx</w:t>
            </w:r>
          </w:p>
        </w:tc>
      </w:tr>
      <w:tr>
        <w:tc>
          <w:tcPr>
            <w:tcW w:type="dxa" w:w="831"/>
            <w:vMerge/>
          </w:tcPr>
          <w:p/>
        </w:tc>
        <w:tc>
          <w:tcPr>
            <w:tcW w:type="dxa" w:w="1661"/>
          </w:tcPr>
          <w:p>
            <w:pPr>
              <w:pStyle w:val="null3"/>
            </w:pPr>
            <w:r>
              <w:rPr>
                <w:rFonts w:ascii="仿宋_GB2312" w:hAnsi="仿宋_GB2312" w:cs="仿宋_GB2312" w:eastAsia="仿宋_GB2312"/>
              </w:rPr>
              <w:t>设计服务开展的流程及规范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供应商提供的服务开展的流程及规范方案需包含①服务流程及实施；②各环节衔接进度保障措施；③内外部沟通机制，共3项内容，每项满分3分，总分9分。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设计服务开展的流程及规范.docx</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供应商提供的服务开展的组织措施及制度方案需包含①组织机构方案及有关管理制度；②应急保障能力，共2项内容，每项满分3分，总分6分。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服务开展的组织措施及制度.docx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根据供应商提供的针对本项目的增值服务进行评审，每提供一条合理、有针对性的增值服务的得1分，最多得2分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磋商报价采用低价优先法计算，即满足磋商文件要求且最后磋商报价最低的报价为评审基准价，其价格分为满分。其他供应商的价格分统一按照下列公式计算：磋商报价得分=（评审基准价/最后磋商报价）×20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分项报价清单.docx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分项报价清单.docx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详见附件：供应商应提供的资格证明材料.docx</w:t>
      </w:r>
    </w:p>
    <w:p>
      <w:pPr>
        <w:pStyle w:val="null3"/>
        <w:ind w:firstLine="960"/>
      </w:pPr>
      <w:r>
        <w:rPr>
          <w:rFonts w:ascii="仿宋_GB2312" w:hAnsi="仿宋_GB2312" w:cs="仿宋_GB2312" w:eastAsia="仿宋_GB2312"/>
        </w:rPr>
        <w:t>详见附件：供应商应授权合法的人员参加本项目竞争性磋商活动全过程证明资料.docx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详见附件：拟派项目设计负责人.docx</w:t>
      </w:r>
    </w:p>
    <w:p>
      <w:pPr>
        <w:pStyle w:val="null3"/>
        <w:ind w:firstLine="960"/>
      </w:pPr>
      <w:r>
        <w:rPr>
          <w:rFonts w:ascii="仿宋_GB2312" w:hAnsi="仿宋_GB2312" w:cs="仿宋_GB2312" w:eastAsia="仿宋_GB2312"/>
        </w:rPr>
        <w:t>详见附件：项目部人员构成人员.docx</w:t>
      </w:r>
    </w:p>
    <w:p>
      <w:pPr>
        <w:pStyle w:val="null3"/>
        <w:ind w:firstLine="960"/>
      </w:pPr>
      <w:r>
        <w:rPr>
          <w:rFonts w:ascii="仿宋_GB2312" w:hAnsi="仿宋_GB2312" w:cs="仿宋_GB2312" w:eastAsia="仿宋_GB2312"/>
        </w:rPr>
        <w:t>详见附件：整体服务的思路及要点.docx</w:t>
      </w:r>
    </w:p>
    <w:p>
      <w:pPr>
        <w:pStyle w:val="null3"/>
        <w:ind w:firstLine="960"/>
      </w:pPr>
      <w:r>
        <w:rPr>
          <w:rFonts w:ascii="仿宋_GB2312" w:hAnsi="仿宋_GB2312" w:cs="仿宋_GB2312" w:eastAsia="仿宋_GB2312"/>
        </w:rPr>
        <w:t>详见附件：设计服务方案.docx</w:t>
      </w:r>
    </w:p>
    <w:p>
      <w:pPr>
        <w:pStyle w:val="null3"/>
        <w:ind w:firstLine="960"/>
      </w:pPr>
      <w:r>
        <w:rPr>
          <w:rFonts w:ascii="仿宋_GB2312" w:hAnsi="仿宋_GB2312" w:cs="仿宋_GB2312" w:eastAsia="仿宋_GB2312"/>
        </w:rPr>
        <w:t>详见附件：经济技术指标及设计限额控制方案.docx</w:t>
      </w:r>
    </w:p>
    <w:p>
      <w:pPr>
        <w:pStyle w:val="null3"/>
        <w:ind w:firstLine="960"/>
      </w:pPr>
      <w:r>
        <w:rPr>
          <w:rFonts w:ascii="仿宋_GB2312" w:hAnsi="仿宋_GB2312" w:cs="仿宋_GB2312" w:eastAsia="仿宋_GB2312"/>
        </w:rPr>
        <w:t>详见附件：设计服务承诺及后续工作配合措施方案.docx</w:t>
      </w:r>
    </w:p>
    <w:p>
      <w:pPr>
        <w:pStyle w:val="null3"/>
        <w:ind w:firstLine="960"/>
      </w:pPr>
      <w:r>
        <w:rPr>
          <w:rFonts w:ascii="仿宋_GB2312" w:hAnsi="仿宋_GB2312" w:cs="仿宋_GB2312" w:eastAsia="仿宋_GB2312"/>
        </w:rPr>
        <w:t>详见附件：设计服务质量的保障措施.docx</w:t>
      </w:r>
    </w:p>
    <w:p>
      <w:pPr>
        <w:pStyle w:val="null3"/>
        <w:ind w:firstLine="960"/>
      </w:pPr>
      <w:r>
        <w:rPr>
          <w:rFonts w:ascii="仿宋_GB2312" w:hAnsi="仿宋_GB2312" w:cs="仿宋_GB2312" w:eastAsia="仿宋_GB2312"/>
        </w:rPr>
        <w:t>详见附件：设计服务开展的流程及规范.docx</w:t>
      </w:r>
    </w:p>
    <w:p>
      <w:pPr>
        <w:pStyle w:val="null3"/>
        <w:ind w:firstLine="960"/>
      </w:pPr>
      <w:r>
        <w:rPr>
          <w:rFonts w:ascii="仿宋_GB2312" w:hAnsi="仿宋_GB2312" w:cs="仿宋_GB2312" w:eastAsia="仿宋_GB2312"/>
        </w:rPr>
        <w:t>详见附件：服务开展的组织措施及制度.docx</w:t>
      </w:r>
    </w:p>
    <w:p>
      <w:pPr>
        <w:pStyle w:val="null3"/>
        <w:ind w:firstLine="960"/>
      </w:pPr>
      <w:r>
        <w:rPr>
          <w:rFonts w:ascii="仿宋_GB2312" w:hAnsi="仿宋_GB2312" w:cs="仿宋_GB2312" w:eastAsia="仿宋_GB2312"/>
        </w:rPr>
        <w:t>详见附件：增值服务.docx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详见附件：金花校区经纬苑学生宿舍楼项目方案及初步设计-采购合同文本.docx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