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版本号：sxzs-zb26-0620260331001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一楼业务大厅改造工程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sxzs-zb26-06</w:t>
      </w:r>
      <w:r>
        <w:br/>
      </w:r>
      <w:r>
        <w:br/>
      </w:r>
      <w:r>
        <w:br/>
      </w:r>
    </w:p>
    <w:p>
      <w:pPr>
        <w:pStyle w:val="null3"/>
        <w:jc w:val="center"/>
        <w:outlineLvl w:val="2"/>
      </w:pPr>
      <w:r>
        <w:rPr>
          <w:rFonts w:ascii="仿宋_GB2312" w:hAnsi="仿宋_GB2312" w:cs="仿宋_GB2312" w:eastAsia="仿宋_GB2312"/>
          <w:sz w:val="28"/>
          <w:b/>
        </w:rPr>
        <w:t>陕西省能源质量监督检验所</w:t>
      </w:r>
    </w:p>
    <w:p>
      <w:pPr>
        <w:pStyle w:val="null3"/>
        <w:jc w:val="center"/>
        <w:outlineLvl w:val="2"/>
      </w:pPr>
      <w:r>
        <w:rPr>
          <w:rFonts w:ascii="仿宋_GB2312" w:hAnsi="仿宋_GB2312" w:cs="仿宋_GB2312" w:eastAsia="仿宋_GB2312"/>
          <w:sz w:val="28"/>
          <w:b/>
        </w:rPr>
        <w:t>陕西筑实工程咨询有限公司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陕西筑实工程咨询有限公司</w:t>
      </w:r>
      <w:r>
        <w:rPr>
          <w:rFonts w:ascii="仿宋_GB2312" w:hAnsi="仿宋_GB2312" w:cs="仿宋_GB2312" w:eastAsia="仿宋_GB2312"/>
        </w:rPr>
        <w:t>（以下简称“代理机构”）受</w:t>
      </w:r>
      <w:r>
        <w:rPr>
          <w:rFonts w:ascii="仿宋_GB2312" w:hAnsi="仿宋_GB2312" w:cs="仿宋_GB2312" w:eastAsia="仿宋_GB2312"/>
        </w:rPr>
        <w:t>陕西省能源质量监督检验所</w:t>
      </w:r>
      <w:r>
        <w:rPr>
          <w:rFonts w:ascii="仿宋_GB2312" w:hAnsi="仿宋_GB2312" w:cs="仿宋_GB2312" w:eastAsia="仿宋_GB2312"/>
        </w:rPr>
        <w:t>委托，拟对</w:t>
      </w:r>
      <w:r>
        <w:rPr>
          <w:rFonts w:ascii="仿宋_GB2312" w:hAnsi="仿宋_GB2312" w:cs="仿宋_GB2312" w:eastAsia="仿宋_GB2312"/>
        </w:rPr>
        <w:t>一楼业务大厅改造工程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sxzs-zb26-06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一楼业务大厅改造工程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本项目为陕西省能源质量监督检验所一楼整体功能提升改造工程，改造范围覆盖业务大厅、办公室、服务窗口、外立面等区域。注意：未叙述详细部分详见图纸及工程量清单。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2023年度或2024年度经审计的财务会计报告（成立时间至提交磋商响应文件截止时间不足一年的可提供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3、税收缴纳证明：提供2025年5月至今已缴纳的至少一个月的纳税证明或完税证明（任意税种），依法免税的单位应提供相关证明材料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8、资质证书：供应商具备建筑工程施工总承包三级及以上资质或建筑装修装饰工程专业承包资质二级及以上，并提供有效的安全生产许可证；</w:t>
      </w:r>
    </w:p>
    <w:p>
      <w:pPr>
        <w:pStyle w:val="null3"/>
      </w:pPr>
      <w:r>
        <w:rPr>
          <w:rFonts w:ascii="仿宋_GB2312" w:hAnsi="仿宋_GB2312" w:cs="仿宋_GB2312" w:eastAsia="仿宋_GB2312"/>
        </w:rPr>
        <w:t>9、项目经理：拟派项目经理具备建筑工程专业二级及以上注册建造师执业资格且在本单位注册，具有有效的安全生产考核合格证，且未担任其他在建工程项目的项目经理（提供无在建承诺书）</w:t>
      </w:r>
    </w:p>
    <w:p>
      <w:pPr>
        <w:pStyle w:val="null3"/>
      </w:pPr>
      <w:r>
        <w:rPr>
          <w:rFonts w:ascii="仿宋_GB2312" w:hAnsi="仿宋_GB2312" w:cs="仿宋_GB2312" w:eastAsia="仿宋_GB2312"/>
        </w:rPr>
        <w:t>10、信用记录：供应商不得为“信用中国”网站（www.creditchina.gov.cn）中列入“失信被执行人”（中国执行信息公开网https://zxgk.court.gov.c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11、联合体：本项目不接受联合体磋商。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陕西省能源质量监督检验所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西安市雁塔路南段129号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陕西省能源质量监督检验所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13909266236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陕西筑实工程咨询有限公司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西安市雁塔区雁翔路赛格中京坊公寓A座二单元3412室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15592475983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采购包1：494,570.00元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执行，不足5000元的，按5000元计取。2.支付方式：成交供应商应在领取通知书的同时，支付本项目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陕西省能源质量监督检验所</w:t>
      </w:r>
      <w:r>
        <w:rPr>
          <w:rFonts w:ascii="仿宋_GB2312" w:hAnsi="仿宋_GB2312" w:cs="仿宋_GB2312" w:eastAsia="仿宋_GB2312"/>
        </w:rPr>
        <w:t>和</w:t>
      </w:r>
      <w:r>
        <w:rPr>
          <w:rFonts w:ascii="仿宋_GB2312" w:hAnsi="仿宋_GB2312" w:cs="仿宋_GB2312" w:eastAsia="仿宋_GB2312"/>
        </w:rPr>
        <w:t>陕西筑实工程咨询有限公司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陕西省能源质量监督检验所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陕西筑实工程咨询有限公司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陕西省能源质量监督检验所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陕西筑实工程咨询有限公司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陕西筑实工程咨询有限公司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陕西筑实工程咨询有限公司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陕西筑实工程咨询有限公司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联系人：张立</w:t>
      </w:r>
    </w:p>
    <w:p>
      <w:pPr>
        <w:pStyle w:val="null3"/>
      </w:pPr>
      <w:r>
        <w:rPr>
          <w:rFonts w:ascii="仿宋_GB2312" w:hAnsi="仿宋_GB2312" w:cs="仿宋_GB2312" w:eastAsia="仿宋_GB2312"/>
        </w:rPr>
        <w:t>联系电话：15592475983</w:t>
      </w:r>
    </w:p>
    <w:p>
      <w:pPr>
        <w:pStyle w:val="null3"/>
      </w:pPr>
      <w:r>
        <w:rPr>
          <w:rFonts w:ascii="仿宋_GB2312" w:hAnsi="仿宋_GB2312" w:cs="仿宋_GB2312" w:eastAsia="仿宋_GB2312"/>
        </w:rPr>
        <w:t>地址：西安市雁塔区雁翔路赛格中京坊公寓A座二单元3412室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494,570.00</w:t>
      </w:r>
    </w:p>
    <w:p>
      <w:pPr>
        <w:pStyle w:val="null3"/>
      </w:pPr>
      <w:r>
        <w:rPr>
          <w:rFonts w:ascii="仿宋_GB2312" w:hAnsi="仿宋_GB2312" w:cs="仿宋_GB2312" w:eastAsia="仿宋_GB2312"/>
        </w:rPr>
        <w:t>采购包最高限价（元）: 494,570.00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装修工程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494,570.00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标的名称：装修工程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 xml:space="preserve">       一、</w:t>
            </w:r>
            <w:r>
              <w:rPr>
                <w:rFonts w:ascii="仿宋_GB2312" w:hAnsi="仿宋_GB2312" w:cs="仿宋_GB2312" w:eastAsia="仿宋_GB2312"/>
                <w:sz w:val="21"/>
              </w:rPr>
              <w:t>工程概况：</w:t>
            </w:r>
          </w:p>
          <w:p>
            <w:pPr>
              <w:pStyle w:val="null3"/>
              <w:ind w:firstLine="480"/>
            </w:pPr>
            <w:r>
              <w:rPr>
                <w:rFonts w:ascii="仿宋_GB2312" w:hAnsi="仿宋_GB2312" w:cs="仿宋_GB2312" w:eastAsia="仿宋_GB2312"/>
                <w:sz w:val="21"/>
              </w:rPr>
              <w:t>本项目为陕西省能源质量监督检验所一楼整体功能提升改造工程，改造范围覆盖业务大厅、办公室、服务窗口、外立面等区域。</w:t>
            </w:r>
            <w:r>
              <w:rPr>
                <w:rFonts w:ascii="仿宋_GB2312" w:hAnsi="仿宋_GB2312" w:cs="仿宋_GB2312" w:eastAsia="仿宋_GB2312"/>
                <w:sz w:val="21"/>
              </w:rPr>
              <w:t>注意：未叙述详细部分详见图纸及工程量清单。</w:t>
            </w:r>
          </w:p>
          <w:p>
            <w:pPr>
              <w:pStyle w:val="null3"/>
              <w:ind w:firstLine="480"/>
            </w:pPr>
            <w:r>
              <w:rPr>
                <w:rFonts w:ascii="仿宋_GB2312" w:hAnsi="仿宋_GB2312" w:cs="仿宋_GB2312" w:eastAsia="仿宋_GB2312"/>
                <w:sz w:val="21"/>
              </w:rPr>
              <w:t>二、主要功能或目标：</w:t>
            </w:r>
          </w:p>
          <w:p>
            <w:pPr>
              <w:pStyle w:val="null3"/>
              <w:ind w:firstLine="400"/>
              <w:jc w:val="both"/>
            </w:pPr>
            <w:r>
              <w:rPr>
                <w:rFonts w:ascii="仿宋_GB2312" w:hAnsi="仿宋_GB2312" w:cs="仿宋_GB2312" w:eastAsia="仿宋_GB2312"/>
                <w:sz w:val="21"/>
              </w:rPr>
              <w:t>1. 环境安全达标：消除墙面、地面、水电、消防等安全隐患，保障人员及设备安全； 2. 服务环境优化：优化大厅环境，实现整洁明亮、布局合理，塑造专业服务形象； 3. 服务功能完善：提升业务办理效率、满足窗口办理及自助办理等全流程服务功能。</w:t>
            </w:r>
          </w:p>
          <w:p>
            <w:pPr>
              <w:pStyle w:val="null3"/>
              <w:ind w:firstLine="400"/>
              <w:jc w:val="both"/>
            </w:pPr>
            <w:r>
              <w:rPr>
                <w:rFonts w:ascii="仿宋_GB2312" w:hAnsi="仿宋_GB2312" w:cs="仿宋_GB2312" w:eastAsia="仿宋_GB2312"/>
                <w:sz w:val="21"/>
              </w:rPr>
              <w:t>三、</w:t>
            </w:r>
            <w:r>
              <w:rPr>
                <w:rFonts w:ascii="仿宋_GB2312" w:hAnsi="仿宋_GB2312" w:cs="仿宋_GB2312" w:eastAsia="仿宋_GB2312"/>
                <w:sz w:val="21"/>
              </w:rPr>
              <w:t>需满足的要求：</w:t>
            </w:r>
          </w:p>
          <w:p>
            <w:pPr>
              <w:pStyle w:val="null3"/>
              <w:ind w:firstLine="400"/>
              <w:jc w:val="both"/>
            </w:pPr>
            <w:r>
              <w:rPr>
                <w:rFonts w:ascii="仿宋_GB2312" w:hAnsi="仿宋_GB2312" w:cs="仿宋_GB2312" w:eastAsia="仿宋_GB2312"/>
                <w:sz w:val="21"/>
              </w:rPr>
              <w:t>1. 工程、设施符合办公相关标准，全面消除安全隐患； 2. 覆盖全流程服务，设施运行稳定，适配标准化、人性化要求； 3. 质保期内免费维修更换，响应及时； 4. 完成整体改造，涵盖装修、设施环境优化、服务功能提升。</w:t>
            </w:r>
          </w:p>
          <w:p>
            <w:pPr>
              <w:pStyle w:val="null3"/>
            </w:pPr>
            <w:r>
              <w:rPr>
                <w:rFonts w:ascii="仿宋_GB2312" w:hAnsi="仿宋_GB2312" w:cs="仿宋_GB2312" w:eastAsia="仿宋_GB2312"/>
                <w:sz w:val="21"/>
              </w:rPr>
              <w:t xml:space="preserve">       四、工期：</w:t>
            </w:r>
            <w:r>
              <w:rPr>
                <w:rFonts w:ascii="仿宋_GB2312" w:hAnsi="仿宋_GB2312" w:cs="仿宋_GB2312" w:eastAsia="仿宋_GB2312"/>
                <w:sz w:val="21"/>
              </w:rPr>
              <w:t>自进场之日起</w:t>
            </w:r>
            <w:r>
              <w:rPr>
                <w:rFonts w:ascii="仿宋_GB2312" w:hAnsi="仿宋_GB2312" w:cs="仿宋_GB2312" w:eastAsia="仿宋_GB2312"/>
                <w:sz w:val="21"/>
              </w:rPr>
              <w:t>65个日历日内竣工。</w:t>
            </w:r>
          </w:p>
          <w:p>
            <w:pPr>
              <w:pStyle w:val="null3"/>
            </w:pPr>
            <w:r>
              <w:rPr>
                <w:rFonts w:ascii="仿宋_GB2312" w:hAnsi="仿宋_GB2312" w:cs="仿宋_GB2312" w:eastAsia="仿宋_GB2312"/>
                <w:sz w:val="21"/>
              </w:rPr>
              <w:t xml:space="preserve">       五、质量保修期：</w:t>
            </w:r>
            <w:r>
              <w:rPr>
                <w:rFonts w:ascii="仿宋_GB2312" w:hAnsi="仿宋_GB2312" w:cs="仿宋_GB2312" w:eastAsia="仿宋_GB2312"/>
                <w:sz w:val="21"/>
              </w:rPr>
              <w:t>2年。</w:t>
            </w:r>
          </w:p>
          <w:p>
            <w:pPr>
              <w:pStyle w:val="null3"/>
            </w:pPr>
            <w:r>
              <w:rPr>
                <w:rFonts w:ascii="仿宋_GB2312" w:hAnsi="仿宋_GB2312" w:cs="仿宋_GB2312" w:eastAsia="仿宋_GB2312"/>
                <w:sz w:val="21"/>
              </w:rPr>
              <w:t xml:space="preserve">       六、质量标准：符合国家现行有关施工质量验收规范</w:t>
            </w:r>
            <w:r>
              <w:rPr>
                <w:rFonts w:ascii="仿宋_GB2312" w:hAnsi="仿宋_GB2312" w:cs="仿宋_GB2312" w:eastAsia="仿宋_GB2312"/>
                <w:sz w:val="21"/>
              </w:rPr>
              <w:t>“合格”要求。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非专门面向中小企业采购。2.本项目属性为工程。3.本项目合同包1采购标的所属行业为：建筑业；4.为顺利推进政府采购电子化交易平台试点应用工作，供应商需要在线提交所有通过电子化交易平台实施的政府采购项目的响应文件，发布成交结果公告后，成交供应商应及时向采购代理机构提交一正二副，装订成册并盖章的纸质文件，若正本和副本不一致的，以正本为准。送至陕西省西安市雁塔区雁翔路赛格中京坊公寓A座二单元3412室；5.本项目为总价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供应商参加政府采购活动承诺书.docx 其它说明.docx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会计报告（成立时间至提交磋商响应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供应商参加政府采购活动承诺书.docx 其它说明.docx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供应商参加政府采购活动承诺书.docx 其它说明.docx 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供应商参加政府采购活动承诺书.docx 其它说明.docx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或2024年度经审计的财务会计报告（成立时间至提交磋商响应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供应商参加政府采购活动承诺书.docx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供应商参加政府采购活动承诺书.docx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供应商参加政府采购活动承诺书.docx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供应商参加政府采购活动承诺书.docx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供应商参加政府采购活动承诺书.docx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供应商参加政府采购活动承诺书.docx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供应商具备建筑工程施工总承包三级及以上资质或建筑装修装饰工程专业承包资质二级及以上，并提供有效的安全生产许可证；</w:t>
            </w:r>
          </w:p>
        </w:tc>
        <w:tc>
          <w:tcPr>
            <w:tcW w:type="dxa" w:w="1661"/>
          </w:tcPr>
          <w:p>
            <w:pPr>
              <w:pStyle w:val="null3"/>
            </w:pPr>
            <w:r>
              <w:rPr>
                <w:rFonts w:ascii="仿宋_GB2312" w:hAnsi="仿宋_GB2312" w:cs="仿宋_GB2312" w:eastAsia="仿宋_GB2312"/>
              </w:rPr>
              <w:t>供应商参加政府采购活动承诺书.docx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拟派项目经理具备建筑工程专业二级及以上注册建造师执业资格且在本单位注册，具有有效的安全生产考核合格证，且未担任其他在建工程项目的项目经理（提供无在建承诺书）</w:t>
            </w:r>
          </w:p>
        </w:tc>
        <w:tc>
          <w:tcPr>
            <w:tcW w:type="dxa" w:w="1661"/>
          </w:tcPr>
          <w:p>
            <w:pPr>
              <w:pStyle w:val="null3"/>
            </w:pPr>
            <w:r>
              <w:rPr>
                <w:rFonts w:ascii="仿宋_GB2312" w:hAnsi="仿宋_GB2312" w:cs="仿宋_GB2312" w:eastAsia="仿宋_GB2312"/>
              </w:rPr>
              <w:t>供应商参加政府采购活动承诺书.docx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供应商参加政府采购活动承诺书.docx 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供应商参加政府采购活动承诺书.docx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技术服务合同条款及其他商务要求应答表 资格证明文件.docx 响应文件封面 残疾人福利性单位声明函 报价函 其它说明.docx 标的清单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技术服务合同条款及其他商务要求应答表 资格证明文件.docx 响应文件封面 残疾人福利性单位声明函 报价函 其它说明.docx 标的清单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技术服务合同条款及其他商务要求应答表 资格证明文件.docx 响应文件封面 残疾人福利性单位声明函 报价函 其它说明.docx 标的清单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施工组织部分1</w:t>
            </w:r>
          </w:p>
        </w:tc>
        <w:tc>
          <w:tcPr>
            <w:tcW w:type="dxa" w:w="2492"/>
          </w:tcPr>
          <w:p>
            <w:pPr>
              <w:pStyle w:val="null3"/>
            </w:pPr>
            <w:r>
              <w:rPr>
                <w:rFonts w:ascii="仿宋_GB2312" w:hAnsi="仿宋_GB2312" w:cs="仿宋_GB2312" w:eastAsia="仿宋_GB2312"/>
              </w:rPr>
              <w:t>供应商的项目经理部组成及劳动力投入配备合理，完全满足工作要求，根据响应情况7-10分； 供应商的项目经理部组成及劳动力投入配备较为合理，基本满足工作要求，根据响应情况得4-7分（含7分）； 供应商的项目经理部组成及劳动力投入配备不合理、配置较差，未能完全满足工作要求,根据响应情况得0-4分（含4分）。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施工组织部分2</w:t>
            </w:r>
          </w:p>
        </w:tc>
        <w:tc>
          <w:tcPr>
            <w:tcW w:type="dxa" w:w="2492"/>
          </w:tcPr>
          <w:p>
            <w:pPr>
              <w:pStyle w:val="null3"/>
            </w:pPr>
            <w:r>
              <w:rPr>
                <w:rFonts w:ascii="仿宋_GB2312" w:hAnsi="仿宋_GB2312" w:cs="仿宋_GB2312" w:eastAsia="仿宋_GB2312"/>
              </w:rPr>
              <w:t>供应商有完善的安全、文明施工措施、环境保护措施及确保治污减霾和防尘污染的技术组织措施，措施编制完整合理、可操作性强，根据响应情况得7-10分； 供应商的安全、文明施工措施、环境保护措 施及确保治污减霾和防尘污染的技术组织措施基本合理、操作性一般，根据响应情况得4-7分（含7分）； 供应商提供的安全、文明施工措施、环境保护措施及确保治污减霾和防尘污染的技术组织措施不尽完善、操作性不强、不能完全满足工作要求，根据响应情况得 0-4分（含4分）。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施工组织部分3</w:t>
            </w:r>
          </w:p>
        </w:tc>
        <w:tc>
          <w:tcPr>
            <w:tcW w:type="dxa" w:w="2492"/>
          </w:tcPr>
          <w:p>
            <w:pPr>
              <w:pStyle w:val="null3"/>
            </w:pPr>
            <w:r>
              <w:rPr>
                <w:rFonts w:ascii="仿宋_GB2312" w:hAnsi="仿宋_GB2312" w:cs="仿宋_GB2312" w:eastAsia="仿宋_GB2312"/>
              </w:rPr>
              <w:t>供应商有完善的施工质量及施工进度保证措施、明确的项目职责与分工，能有效地保证服务质量，确保按时按量完成服务工作，根据响应情况得 7-10分； 供应商的施工质量及施工进度保证措施完善、程序措施较为规范合理，根据响应情况得4-7分（含7分）； 供应商的施工质量及施工进度保证措施不尽完善、不能完全满足工作要求，根据响应情况得0-4分（含4分）。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施工组织部分4</w:t>
            </w:r>
          </w:p>
        </w:tc>
        <w:tc>
          <w:tcPr>
            <w:tcW w:type="dxa" w:w="2492"/>
          </w:tcPr>
          <w:p>
            <w:pPr>
              <w:pStyle w:val="null3"/>
            </w:pPr>
            <w:r>
              <w:rPr>
                <w:rFonts w:ascii="仿宋_GB2312" w:hAnsi="仿宋_GB2312" w:cs="仿宋_GB2312" w:eastAsia="仿宋_GB2312"/>
              </w:rPr>
              <w:t>具有详细、实用、可行的突发事件处理预案措施，包括但不限于工伤事故、劳务纠纷； 突发事件应急预案，详细、实用、切实可行性强得7-10分； 突发事件应急预案，较详细、较实用、可行性较强得4-7分（含7分）； 突发事件应急预案，实用性一般，可行性较弱得0-4分（含4分）。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施工组织部分5</w:t>
            </w:r>
          </w:p>
        </w:tc>
        <w:tc>
          <w:tcPr>
            <w:tcW w:type="dxa" w:w="2492"/>
          </w:tcPr>
          <w:p>
            <w:pPr>
              <w:pStyle w:val="null3"/>
            </w:pPr>
            <w:r>
              <w:rPr>
                <w:rFonts w:ascii="仿宋_GB2312" w:hAnsi="仿宋_GB2312" w:cs="仿宋_GB2312" w:eastAsia="仿宋_GB2312"/>
              </w:rPr>
              <w:t>提供的项目施工方案详细、合理、全面，根据响应情况得 7-10分； 提供的项目施工方案较详细、基本合理，根据响应情况得 4-7分（含7分）； 提供的项目施工方案有缺陷或不尽合理，前后矛盾，根据响应情况得 0-4分（含4分）。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施工组织部分6</w:t>
            </w:r>
          </w:p>
        </w:tc>
        <w:tc>
          <w:tcPr>
            <w:tcW w:type="dxa" w:w="2492"/>
          </w:tcPr>
          <w:p>
            <w:pPr>
              <w:pStyle w:val="null3"/>
            </w:pPr>
            <w:r>
              <w:rPr>
                <w:rFonts w:ascii="仿宋_GB2312" w:hAnsi="仿宋_GB2312" w:cs="仿宋_GB2312" w:eastAsia="仿宋_GB2312"/>
              </w:rPr>
              <w:t>供应商所制定的主要材料供应计划及施工机械配备投入计划详细合理，可操作性强，机械工具配置齐全、情况良好。根据响应情况得3-5分； 供应商所制定的主要材料供应计划及施工机械配备投入计划叫详细合理，可操作性一般，基本满足工作要求，根据响应情况得0-3分（含3分）。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施工组织部分7</w:t>
            </w:r>
          </w:p>
        </w:tc>
        <w:tc>
          <w:tcPr>
            <w:tcW w:type="dxa" w:w="2492"/>
          </w:tcPr>
          <w:p>
            <w:pPr>
              <w:pStyle w:val="null3"/>
            </w:pPr>
            <w:r>
              <w:rPr>
                <w:rFonts w:ascii="仿宋_GB2312" w:hAnsi="仿宋_GB2312" w:cs="仿宋_GB2312" w:eastAsia="仿宋_GB2312"/>
              </w:rPr>
              <w:t>采用新材料、新设备、新技术、新工艺，得3-5分；未提供得0分。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根据供应商提供的服务承诺（包括但不限于工期、工程质量、安全方面）的情况自主赋分。 描述详尽、具体、可行性强得2-4分； 描述较详尽、较具体、可行性一般得0-2分（含2分）。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2021年01月01日至今类似项目业绩，每提供1份得2分，最高得6分；业绩证明（以合同（协议）或中标（成交）通知书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详见附件：其它说明.docx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详见附件：磋商方案.docx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