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版本号：SXYS-2026-013.1B120260331001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建筑物结构安全监测鉴定以及加固设计项目(二次)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SXYS-2026-013.1B1</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陕西延审工程项目管理有限公司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陕西延审工程项目管理有限公司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建筑物结构安全监测鉴定以及加固设计项目(二次)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SXYS-2026-013.1B1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建筑物结构安全监测鉴定以及加固设计项目(二次)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陕西省延安市延安大学附属医院院内，因建筑建造年代部分已达设计使用年限，故对医院的部分建筑进行结构安全检测、综合鉴定及加固等，结构形式有框架结构、砌体结构、钢结构。需满足的要求：满足鉴定及设计规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采购包1（延安大学附属医院建筑物结构安全监测鉴定以及加固设计项目）：属于预留采购份额面向中小企业采购，预留比例为100%。</w:t>
      </w:r>
    </w:p>
    <w:p>
      <w:pPr>
        <w:pStyle w:val="null3"/>
      </w:pPr>
      <w:r>
        <w:rPr>
          <w:rFonts w:ascii="仿宋_GB2312" w:hAnsi="仿宋_GB2312" w:cs="仿宋_GB2312" w:eastAsia="仿宋_GB2312"/>
        </w:rPr>
        <w:t>供应商以联合体形式参加本采购包的，联合体协议中中小企业预留比例为100%。（未组成联合体的，供应商应当为中小企业）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或事业单位法人证书等国家规定的相关证明，自然人参与的提供其身份证明；（若为联合体，则联合体各成员均需提供）</w:t>
      </w:r>
    </w:p>
    <w:p>
      <w:pPr>
        <w:pStyle w:val="null3"/>
      </w:pPr>
      <w:r>
        <w:rPr>
          <w:rFonts w:ascii="仿宋_GB2312" w:hAnsi="仿宋_GB2312" w:cs="仿宋_GB2312" w:eastAsia="仿宋_GB2312"/>
        </w:rPr>
        <w:t>2、银行开户许可证或开户行基本信息：银行开户许可证或开户行基本信息；（若为联合体，则联合体各成员均需提供）</w:t>
      </w:r>
    </w:p>
    <w:p>
      <w:pPr>
        <w:pStyle w:val="null3"/>
      </w:pPr>
      <w:r>
        <w:rPr>
          <w:rFonts w:ascii="仿宋_GB2312" w:hAnsi="仿宋_GB2312" w:cs="仿宋_GB2312" w:eastAsia="仿宋_GB2312"/>
        </w:rPr>
        <w:t>3、法定代表人授权书：法定代表人授权书（附法定代表人身份证复印件）及被授权人身份证（法定代表人直接参加须提供法定代表人身份证明及法定代表人身份证复印件）；</w:t>
      </w:r>
    </w:p>
    <w:p>
      <w:pPr>
        <w:pStyle w:val="null3"/>
      </w:pPr>
      <w:r>
        <w:rPr>
          <w:rFonts w:ascii="仿宋_GB2312" w:hAnsi="仿宋_GB2312" w:cs="仿宋_GB2312" w:eastAsia="仿宋_GB2312"/>
        </w:rPr>
        <w:t>4、财务状况证明：提供2024或2025年度经审计完整的财务审计报告（成立时间至提交响应文件截止时间不足一年的可提供成立后任意时段的资产负债表）或三个月内其基本存款账户开户银行出具的资信证明；（若为联合体，则联合体各成员均需提供）</w:t>
      </w:r>
    </w:p>
    <w:p>
      <w:pPr>
        <w:pStyle w:val="null3"/>
      </w:pPr>
      <w:r>
        <w:rPr>
          <w:rFonts w:ascii="仿宋_GB2312" w:hAnsi="仿宋_GB2312" w:cs="仿宋_GB2312" w:eastAsia="仿宋_GB2312"/>
        </w:rPr>
        <w:t>5、税收缴纳证明：提供截止磋商时间近一年内任意一个月已缴纳的纳税证明或完税证明，依法免税的供应商应提供相关文件证明；（若为联合体，则联合体各成员均需提供）</w:t>
      </w:r>
    </w:p>
    <w:p>
      <w:pPr>
        <w:pStyle w:val="null3"/>
      </w:pPr>
      <w:r>
        <w:rPr>
          <w:rFonts w:ascii="仿宋_GB2312" w:hAnsi="仿宋_GB2312" w:cs="仿宋_GB2312" w:eastAsia="仿宋_GB2312"/>
        </w:rPr>
        <w:t>6、社会保障资金缴纳证明：提供截止磋商时间近一年内任意一个月的社会保障资金缴存证明或社保机构开具的社会保险参保缴费情况证明；依法不需要缴纳社会保障资金的应提供相关文件证明；（若为联合体，则联合体各成员均需提供）</w:t>
      </w:r>
    </w:p>
    <w:p>
      <w:pPr>
        <w:pStyle w:val="null3"/>
      </w:pPr>
      <w:r>
        <w:rPr>
          <w:rFonts w:ascii="仿宋_GB2312" w:hAnsi="仿宋_GB2312" w:cs="仿宋_GB2312" w:eastAsia="仿宋_GB2312"/>
        </w:rPr>
        <w:t>7、书面声明：具有履行合同所必需的设备和专业技术能力的书面声明</w:t>
      </w:r>
    </w:p>
    <w:p>
      <w:pPr>
        <w:pStyle w:val="null3"/>
      </w:pPr>
      <w:r>
        <w:rPr>
          <w:rFonts w:ascii="仿宋_GB2312" w:hAnsi="仿宋_GB2312" w:cs="仿宋_GB2312" w:eastAsia="仿宋_GB2312"/>
        </w:rPr>
        <w:t>8、信誉：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若为联合体，则联合体各成员均需提供）</w:t>
      </w:r>
    </w:p>
    <w:p>
      <w:pPr>
        <w:pStyle w:val="null3"/>
      </w:pPr>
      <w:r>
        <w:rPr>
          <w:rFonts w:ascii="仿宋_GB2312" w:hAnsi="仿宋_GB2312" w:cs="仿宋_GB2312" w:eastAsia="仿宋_GB2312"/>
        </w:rPr>
        <w:t>9、资质证书：（1）应具有建设行政主管部门颁发的建设工程质量检测机构资质证书（检测范围至少须包含:建筑材料及构配件、主体结构及装饰装修、钢结构、地基基础），同时具有检验检测机构资质认定证书（CMA）； （2）应具有建设行政主管部门颁发的工程设计综合资质甲级资质或建筑行业工程设计乙级及以上资质或建筑行业（建筑工程）乙级及以上资质；</w:t>
      </w:r>
    </w:p>
    <w:p>
      <w:pPr>
        <w:pStyle w:val="null3"/>
      </w:pPr>
      <w:r>
        <w:rPr>
          <w:rFonts w:ascii="仿宋_GB2312" w:hAnsi="仿宋_GB2312" w:cs="仿宋_GB2312" w:eastAsia="仿宋_GB2312"/>
        </w:rPr>
        <w:t>10、项目负责人：（1）项目总负责人须具备一级注册结构工程师执业资格证书； （2）检测负责人须具备一级注册结构工程师执业资格； （3）设计负责人须具备一级注册建筑师或一级注册结构工程师执业资格； （若供应商为联合体，则项目总负责人必须为联合体牵头人单位人员；项目总负责人和检测负责人可以为一人），（拟派负责人须具备近一年内任意一个月的缴纳社保凭证；对担任负责人的退休人员，不提供社保证明，但需提供与从业单位签订的劳动合同。）</w:t>
      </w:r>
    </w:p>
    <w:p>
      <w:pPr>
        <w:pStyle w:val="null3"/>
      </w:pPr>
      <w:r>
        <w:rPr>
          <w:rFonts w:ascii="仿宋_GB2312" w:hAnsi="仿宋_GB2312" w:cs="仿宋_GB2312" w:eastAsia="仿宋_GB2312"/>
        </w:rPr>
        <w:t>11、联合体：本项目接受联合体磋商，联合体提出磋商的，联合体各方应具备上述相应的资格条件，联合体成员个数最多不得超过2个。 联合体提出磋商的，应满足下列要求： （1）联合体各方具有独立法人资格，联合体各方应签订联合体磋商协议书，明确联合体牵头人和各方权利义务； （2）联合体各方不得再以自己名义单独或参加其他联合体在同一项目中磋商。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陕西延审工程项目管理有限公司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延安市新区嘉宁万兴花园写字楼21层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郝小艳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19929659892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采购包1：936,547.92元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开户名称：陕西延审工程项目管理有限公司</w:t>
            </w:r>
          </w:p>
          <w:p>
            <w:pPr>
              <w:pStyle w:val="null3"/>
            </w:pPr>
            <w:r>
              <w:rPr>
                <w:rFonts w:ascii="仿宋_GB2312" w:hAnsi="仿宋_GB2312" w:cs="仿宋_GB2312" w:eastAsia="仿宋_GB2312"/>
              </w:rPr>
              <w:t>开户银行：招商银行股份有限公司西安城北支行</w:t>
            </w:r>
          </w:p>
          <w:p>
            <w:pPr>
              <w:pStyle w:val="null3"/>
            </w:pPr>
            <w:r>
              <w:rPr>
                <w:rFonts w:ascii="仿宋_GB2312" w:hAnsi="仿宋_GB2312" w:cs="仿宋_GB2312" w:eastAsia="仿宋_GB2312"/>
              </w:rPr>
              <w:t>银行账号：129916845510008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代理服务费收费标准：1、本项目采购代理服务费按《招标代理服务收费管理暂行办法》（计价格〔2002〕1980号）标准计取，由成交供应商在领取成交通知书时向采购代理机构一次性付清。 2、采购代理服务费账户信息 3、名称：陕西延审工程项目管理有限公司 4、纳税人识别号：91610600675138577D 5、地址电话：陕西省西安市未央区太华北路安徽大厦15层01室029-86616270 6、开户行及账号：中国工商银行股份有限公司西安太华路支行3700023919200266054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陕西延审工程项目管理有限公司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陕西延审工程项目管理有限公司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陕西延审工程项目管理有限公司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郝小艳</w:t>
      </w:r>
    </w:p>
    <w:p>
      <w:pPr>
        <w:pStyle w:val="null3"/>
      </w:pPr>
      <w:r>
        <w:rPr>
          <w:rFonts w:ascii="仿宋_GB2312" w:hAnsi="仿宋_GB2312" w:cs="仿宋_GB2312" w:eastAsia="仿宋_GB2312"/>
        </w:rPr>
        <w:t>联系电话： 19929659892</w:t>
      </w:r>
    </w:p>
    <w:p>
      <w:pPr>
        <w:pStyle w:val="null3"/>
      </w:pPr>
      <w:r>
        <w:rPr>
          <w:rFonts w:ascii="仿宋_GB2312" w:hAnsi="仿宋_GB2312" w:cs="仿宋_GB2312" w:eastAsia="仿宋_GB2312"/>
        </w:rPr>
        <w:t>地址：延安市新区嘉宁万兴花园写字楼21层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位于陕西省延安市延安大学附属医院院内，因建筑建造年代部分已达设计使用年限，故对医院的部分建筑进行结构安全检测、综合鉴定及加固等，结构形式有框架结构、砌体结构、钢结构。需满足的要求：满足鉴定及设计规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936,547.92</w:t>
      </w:r>
    </w:p>
    <w:p>
      <w:pPr>
        <w:pStyle w:val="null3"/>
      </w:pPr>
      <w:r>
        <w:rPr>
          <w:rFonts w:ascii="仿宋_GB2312" w:hAnsi="仿宋_GB2312" w:cs="仿宋_GB2312" w:eastAsia="仿宋_GB2312"/>
        </w:rPr>
        <w:t>采购包最高限价（元）: 936,547.92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建筑物结构安全监测鉴定以及加固设计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936,547.92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标的名称：建筑物结构安全监测鉴定以及加固设计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1、项目名称：延安大学附属医院建筑物结构安全监测鉴定以及加固设计项目</w:t>
            </w:r>
          </w:p>
          <w:p>
            <w:pPr>
              <w:pStyle w:val="null3"/>
            </w:pPr>
            <w:r>
              <w:rPr>
                <w:rFonts w:ascii="仿宋_GB2312" w:hAnsi="仿宋_GB2312" w:cs="仿宋_GB2312" w:eastAsia="仿宋_GB2312"/>
              </w:rPr>
              <w:t>2、服务期：45日历天</w:t>
            </w:r>
          </w:p>
          <w:p>
            <w:pPr>
              <w:pStyle w:val="null3"/>
            </w:pPr>
            <w:r>
              <w:rPr>
                <w:rFonts w:ascii="仿宋_GB2312" w:hAnsi="仿宋_GB2312" w:cs="仿宋_GB2312" w:eastAsia="仿宋_GB2312"/>
              </w:rPr>
              <w:t>3、服务地点：延安大学附属医院</w:t>
            </w:r>
          </w:p>
          <w:p>
            <w:pPr>
              <w:pStyle w:val="null3"/>
            </w:pPr>
            <w:r>
              <w:rPr>
                <w:rFonts w:ascii="仿宋_GB2312" w:hAnsi="仿宋_GB2312" w:cs="仿宋_GB2312" w:eastAsia="仿宋_GB2312"/>
              </w:rPr>
              <w:t>4、质量要求：达到国家及行业现行合格标准</w:t>
            </w:r>
          </w:p>
          <w:p>
            <w:pPr>
              <w:pStyle w:val="null3"/>
            </w:pPr>
            <w:r>
              <w:rPr>
                <w:rFonts w:ascii="仿宋_GB2312" w:hAnsi="仿宋_GB2312" w:cs="仿宋_GB2312" w:eastAsia="仿宋_GB2312"/>
              </w:rPr>
              <w:t>5、项目概况：</w:t>
            </w:r>
          </w:p>
          <w:p>
            <w:pPr>
              <w:pStyle w:val="null3"/>
            </w:pPr>
            <w:r>
              <w:rPr>
                <w:rFonts w:ascii="仿宋_GB2312" w:hAnsi="仿宋_GB2312" w:cs="仿宋_GB2312" w:eastAsia="仿宋_GB2312"/>
              </w:rPr>
              <w:t xml:space="preserve">  延安大学附属医院建筑物结构安全监测鉴定以及加固项目位于陕西省延安市，结构形式有框架结构、砌体结构、钢结构。</w:t>
            </w:r>
          </w:p>
          <w:p>
            <w:pPr>
              <w:pStyle w:val="null3"/>
              <w:jc w:val="both"/>
            </w:pPr>
            <w:r>
              <w:rPr>
                <w:rFonts w:ascii="仿宋_GB2312" w:hAnsi="仿宋_GB2312" w:cs="仿宋_GB2312" w:eastAsia="仿宋_GB2312"/>
              </w:rPr>
              <w:t>6、检验目的：</w:t>
            </w:r>
          </w:p>
          <w:p>
            <w:pPr>
              <w:pStyle w:val="null3"/>
              <w:jc w:val="both"/>
            </w:pPr>
            <w:r>
              <w:rPr>
                <w:rFonts w:ascii="仿宋_GB2312" w:hAnsi="仿宋_GB2312" w:cs="仿宋_GB2312" w:eastAsia="仿宋_GB2312"/>
              </w:rPr>
              <w:t xml:space="preserve">  该项目部分建筑使用年限已近设计使用年限，为了了解该批建筑的结构安全性能及抗震性能，对该批建筑进行安全性及抗震鉴定，并为后期使用改造修缮提供技术依据及合理化建议。</w:t>
            </w:r>
          </w:p>
          <w:p>
            <w:pPr>
              <w:pStyle w:val="null3"/>
            </w:pPr>
            <w:r>
              <w:rPr>
                <w:rFonts w:ascii="仿宋_GB2312" w:hAnsi="仿宋_GB2312" w:cs="仿宋_GB2312" w:eastAsia="仿宋_GB2312"/>
                <w:sz w:val="21"/>
              </w:rPr>
              <w:t>7、服务内容：</w:t>
            </w:r>
          </w:p>
          <w:p>
            <w:pPr>
              <w:pStyle w:val="null3"/>
              <w:jc w:val="both"/>
            </w:pPr>
            <w:r>
              <w:rPr>
                <w:rFonts w:ascii="仿宋_GB2312" w:hAnsi="仿宋_GB2312" w:cs="仿宋_GB2312" w:eastAsia="仿宋_GB2312"/>
              </w:rPr>
              <w:t>（1）建筑物安全鉴定范围（本院）：</w:t>
            </w:r>
          </w:p>
          <w:p>
            <w:pPr>
              <w:pStyle w:val="null3"/>
            </w:pPr>
            <w:r>
              <w:rPr>
                <w:rFonts w:ascii="仿宋_GB2312" w:hAnsi="仿宋_GB2312" w:cs="仿宋_GB2312" w:eastAsia="仿宋_GB2312"/>
              </w:rPr>
              <w:t>门诊综合楼：约2008年建成，建筑面积36220㎡；</w:t>
            </w:r>
          </w:p>
          <w:p>
            <w:pPr>
              <w:pStyle w:val="null3"/>
            </w:pPr>
            <w:r>
              <w:rPr>
                <w:rFonts w:ascii="仿宋_GB2312" w:hAnsi="仿宋_GB2312" w:cs="仿宋_GB2312" w:eastAsia="仿宋_GB2312"/>
              </w:rPr>
              <w:t>CT楼：约2010年建成，建筑面积3000㎡；</w:t>
            </w:r>
          </w:p>
          <w:p>
            <w:pPr>
              <w:pStyle w:val="null3"/>
            </w:pPr>
            <w:r>
              <w:rPr>
                <w:rFonts w:ascii="仿宋_GB2312" w:hAnsi="仿宋_GB2312" w:cs="仿宋_GB2312" w:eastAsia="仿宋_GB2312"/>
              </w:rPr>
              <w:t>综合医技体验楼：约2005年建成，建筑面积2883㎡；</w:t>
            </w:r>
          </w:p>
          <w:p>
            <w:pPr>
              <w:pStyle w:val="null3"/>
            </w:pPr>
            <w:r>
              <w:rPr>
                <w:rFonts w:ascii="仿宋_GB2312" w:hAnsi="仿宋_GB2312" w:cs="仿宋_GB2312" w:eastAsia="仿宋_GB2312"/>
              </w:rPr>
              <w:t>第一住院部：约1982年建成，建筑面积11733㎡；</w:t>
            </w:r>
          </w:p>
          <w:p>
            <w:pPr>
              <w:pStyle w:val="null3"/>
            </w:pPr>
            <w:r>
              <w:rPr>
                <w:rFonts w:ascii="仿宋_GB2312" w:hAnsi="仿宋_GB2312" w:cs="仿宋_GB2312" w:eastAsia="仿宋_GB2312"/>
              </w:rPr>
              <w:t>第二住院部：约1989年建成，建筑面积6597㎡；</w:t>
            </w:r>
          </w:p>
          <w:p>
            <w:pPr>
              <w:pStyle w:val="null3"/>
            </w:pPr>
            <w:r>
              <w:rPr>
                <w:rFonts w:ascii="仿宋_GB2312" w:hAnsi="仿宋_GB2312" w:cs="仿宋_GB2312" w:eastAsia="仿宋_GB2312"/>
              </w:rPr>
              <w:t>综合一号楼（药剂科地下室）：约80-90年建成，建筑面积2878.18㎡；</w:t>
            </w:r>
          </w:p>
          <w:p>
            <w:pPr>
              <w:pStyle w:val="null3"/>
            </w:pPr>
            <w:r>
              <w:rPr>
                <w:rFonts w:ascii="仿宋_GB2312" w:hAnsi="仿宋_GB2312" w:cs="仿宋_GB2312" w:eastAsia="仿宋_GB2312"/>
              </w:rPr>
              <w:t>综合二号楼：约80-90年建成，建筑面积1807㎡；</w:t>
            </w:r>
          </w:p>
          <w:p>
            <w:pPr>
              <w:pStyle w:val="null3"/>
            </w:pPr>
            <w:r>
              <w:rPr>
                <w:rFonts w:ascii="仿宋_GB2312" w:hAnsi="仿宋_GB2312" w:cs="仿宋_GB2312" w:eastAsia="仿宋_GB2312"/>
              </w:rPr>
              <w:t>综合三号楼：约80-90年建成，建筑面积3407㎡；</w:t>
            </w:r>
          </w:p>
          <w:p>
            <w:pPr>
              <w:pStyle w:val="null3"/>
            </w:pPr>
            <w:r>
              <w:rPr>
                <w:rFonts w:ascii="仿宋_GB2312" w:hAnsi="仿宋_GB2312" w:cs="仿宋_GB2312" w:eastAsia="仿宋_GB2312"/>
              </w:rPr>
              <w:t>消毒供应中心：约2011年建成，建筑面积800㎡；</w:t>
            </w:r>
          </w:p>
          <w:p>
            <w:pPr>
              <w:pStyle w:val="null3"/>
            </w:pPr>
            <w:r>
              <w:rPr>
                <w:rFonts w:ascii="仿宋_GB2312" w:hAnsi="仿宋_GB2312" w:cs="仿宋_GB2312" w:eastAsia="仿宋_GB2312"/>
              </w:rPr>
              <w:t>生殖医学中心：约2014年建成，建筑面积1482㎡；</w:t>
            </w:r>
          </w:p>
          <w:p>
            <w:pPr>
              <w:pStyle w:val="null3"/>
            </w:pPr>
            <w:r>
              <w:rPr>
                <w:rFonts w:ascii="仿宋_GB2312" w:hAnsi="仿宋_GB2312" w:cs="仿宋_GB2312" w:eastAsia="仿宋_GB2312"/>
              </w:rPr>
              <w:t>康复楼：约1990年建成，建筑面积4552㎡；</w:t>
            </w:r>
          </w:p>
          <w:p>
            <w:pPr>
              <w:pStyle w:val="null3"/>
            </w:pPr>
            <w:r>
              <w:rPr>
                <w:rFonts w:ascii="仿宋_GB2312" w:hAnsi="仿宋_GB2312" w:cs="仿宋_GB2312" w:eastAsia="仿宋_GB2312"/>
              </w:rPr>
              <w:t>2#家属楼：约80年建成，建筑面积2509㎡；</w:t>
            </w:r>
          </w:p>
          <w:p>
            <w:pPr>
              <w:pStyle w:val="null3"/>
            </w:pPr>
            <w:r>
              <w:rPr>
                <w:rFonts w:ascii="仿宋_GB2312" w:hAnsi="仿宋_GB2312" w:cs="仿宋_GB2312" w:eastAsia="仿宋_GB2312"/>
              </w:rPr>
              <w:t>3#家属楼：约80年建成，建筑面积3013㎡；</w:t>
            </w:r>
          </w:p>
          <w:p>
            <w:pPr>
              <w:pStyle w:val="null3"/>
            </w:pPr>
            <w:r>
              <w:rPr>
                <w:rFonts w:ascii="仿宋_GB2312" w:hAnsi="仿宋_GB2312" w:cs="仿宋_GB2312" w:eastAsia="仿宋_GB2312"/>
              </w:rPr>
              <w:t>放疗中心：建筑面积345.33㎡；</w:t>
            </w:r>
          </w:p>
          <w:p>
            <w:pPr>
              <w:pStyle w:val="null3"/>
            </w:pPr>
            <w:r>
              <w:rPr>
                <w:rFonts w:ascii="仿宋_GB2312" w:hAnsi="仿宋_GB2312" w:cs="仿宋_GB2312" w:eastAsia="仿宋_GB2312"/>
              </w:rPr>
              <w:t>医保大厅：建筑面积462.8㎡；</w:t>
            </w:r>
          </w:p>
          <w:p>
            <w:pPr>
              <w:pStyle w:val="null3"/>
            </w:pPr>
            <w:r>
              <w:rPr>
                <w:rFonts w:ascii="仿宋_GB2312" w:hAnsi="仿宋_GB2312" w:cs="仿宋_GB2312" w:eastAsia="仿宋_GB2312"/>
              </w:rPr>
              <w:t>太平间：建筑面积197.82㎡；</w:t>
            </w:r>
          </w:p>
          <w:p>
            <w:pPr>
              <w:pStyle w:val="null3"/>
            </w:pPr>
            <w:r>
              <w:rPr>
                <w:rFonts w:ascii="仿宋_GB2312" w:hAnsi="仿宋_GB2312" w:cs="仿宋_GB2312" w:eastAsia="仿宋_GB2312"/>
              </w:rPr>
              <w:t>临床服务中心：建筑面积463.67㎡；</w:t>
            </w:r>
          </w:p>
          <w:p>
            <w:pPr>
              <w:pStyle w:val="null3"/>
            </w:pPr>
            <w:r>
              <w:rPr>
                <w:rFonts w:ascii="仿宋_GB2312" w:hAnsi="仿宋_GB2312" w:cs="仿宋_GB2312" w:eastAsia="仿宋_GB2312"/>
              </w:rPr>
              <w:t>锅炉房：建筑面积400㎡；</w:t>
            </w:r>
          </w:p>
          <w:p>
            <w:pPr>
              <w:pStyle w:val="null3"/>
            </w:pPr>
            <w:r>
              <w:rPr>
                <w:rFonts w:ascii="仿宋_GB2312" w:hAnsi="仿宋_GB2312" w:cs="仿宋_GB2312" w:eastAsia="仿宋_GB2312"/>
              </w:rPr>
              <w:t>合计总面积：82750.8㎡。</w:t>
            </w:r>
          </w:p>
          <w:p>
            <w:pPr>
              <w:pStyle w:val="null3"/>
            </w:pPr>
            <w:r>
              <w:rPr>
                <w:rFonts w:ascii="仿宋_GB2312" w:hAnsi="仿宋_GB2312" w:cs="仿宋_GB2312" w:eastAsia="仿宋_GB2312"/>
              </w:rPr>
              <w:t>（2） 建筑物安全鉴定范围（颐荷小区）：</w:t>
            </w:r>
          </w:p>
          <w:p>
            <w:pPr>
              <w:pStyle w:val="null3"/>
            </w:pPr>
            <w:r>
              <w:rPr>
                <w:rFonts w:ascii="仿宋_GB2312" w:hAnsi="仿宋_GB2312" w:cs="仿宋_GB2312" w:eastAsia="仿宋_GB2312"/>
              </w:rPr>
              <w:t>综合楼：建筑面积8277㎡；</w:t>
            </w:r>
          </w:p>
          <w:p>
            <w:pPr>
              <w:pStyle w:val="null3"/>
            </w:pPr>
            <w:r>
              <w:rPr>
                <w:rFonts w:ascii="仿宋_GB2312" w:hAnsi="仿宋_GB2312" w:cs="仿宋_GB2312" w:eastAsia="仿宋_GB2312"/>
              </w:rPr>
              <w:t>幼儿园：建筑面积2492㎡；</w:t>
            </w:r>
          </w:p>
          <w:p>
            <w:pPr>
              <w:pStyle w:val="null3"/>
            </w:pPr>
            <w:r>
              <w:rPr>
                <w:rFonts w:ascii="仿宋_GB2312" w:hAnsi="仿宋_GB2312" w:cs="仿宋_GB2312" w:eastAsia="仿宋_GB2312"/>
              </w:rPr>
              <w:t>物业楼：建筑面积1081㎡；</w:t>
            </w:r>
          </w:p>
          <w:p>
            <w:pPr>
              <w:pStyle w:val="null3"/>
            </w:pPr>
            <w:r>
              <w:rPr>
                <w:rFonts w:ascii="仿宋_GB2312" w:hAnsi="仿宋_GB2312" w:cs="仿宋_GB2312" w:eastAsia="仿宋_GB2312"/>
              </w:rPr>
              <w:t>合计总面积：11850㎡。</w:t>
            </w:r>
          </w:p>
          <w:p>
            <w:pPr>
              <w:pStyle w:val="null3"/>
            </w:pPr>
            <w:r>
              <w:rPr>
                <w:rFonts w:ascii="仿宋_GB2312" w:hAnsi="仿宋_GB2312" w:cs="仿宋_GB2312" w:eastAsia="仿宋_GB2312"/>
                <w:sz w:val="24"/>
              </w:rPr>
              <w:t>建筑物加固设计范围：</w:t>
            </w:r>
          </w:p>
          <w:p>
            <w:pPr>
              <w:pStyle w:val="null3"/>
            </w:pPr>
            <w:r>
              <w:rPr>
                <w:rFonts w:ascii="仿宋_GB2312" w:hAnsi="仿宋_GB2312" w:cs="仿宋_GB2312" w:eastAsia="仿宋_GB2312"/>
              </w:rPr>
              <w:t>（3）根据安全鉴定结果对存在安全隐患的范围进行加固设计。</w:t>
            </w:r>
          </w:p>
          <w:p>
            <w:pPr>
              <w:pStyle w:val="null3"/>
            </w:pPr>
            <w:r>
              <w:rPr>
                <w:rFonts w:ascii="仿宋_GB2312" w:hAnsi="仿宋_GB2312" w:cs="仿宋_GB2312" w:eastAsia="仿宋_GB2312"/>
              </w:rPr>
              <w:t>8、检测标准及依据</w:t>
            </w:r>
          </w:p>
          <w:p>
            <w:pPr>
              <w:pStyle w:val="null3"/>
            </w:pPr>
            <w:r>
              <w:rPr>
                <w:rFonts w:ascii="仿宋_GB2312" w:hAnsi="仿宋_GB2312" w:cs="仿宋_GB2312" w:eastAsia="仿宋_GB2312"/>
              </w:rPr>
              <w:t>《建筑结构检测技术标准》GB/T50344-2019</w:t>
            </w:r>
          </w:p>
          <w:p>
            <w:pPr>
              <w:pStyle w:val="null3"/>
            </w:pPr>
            <w:r>
              <w:rPr>
                <w:rFonts w:ascii="仿宋_GB2312" w:hAnsi="仿宋_GB2312" w:cs="仿宋_GB2312" w:eastAsia="仿宋_GB2312"/>
              </w:rPr>
              <w:t>《混凝土结构现场检测技术标准》GB/T50784-2013</w:t>
            </w:r>
          </w:p>
          <w:p>
            <w:pPr>
              <w:pStyle w:val="null3"/>
            </w:pPr>
            <w:r>
              <w:rPr>
                <w:rFonts w:ascii="仿宋_GB2312" w:hAnsi="仿宋_GB2312" w:cs="仿宋_GB2312" w:eastAsia="仿宋_GB2312"/>
              </w:rPr>
              <w:t>《混凝土结构工程施工质量验收规范》GB50204-2015</w:t>
            </w:r>
          </w:p>
          <w:p>
            <w:pPr>
              <w:pStyle w:val="null3"/>
            </w:pPr>
            <w:r>
              <w:rPr>
                <w:rFonts w:ascii="仿宋_GB2312" w:hAnsi="仿宋_GB2312" w:cs="仿宋_GB2312" w:eastAsia="仿宋_GB2312"/>
              </w:rPr>
              <w:t>《回弹法检测混凝土抗压强度技术规程》JGJ/T23-2011</w:t>
            </w:r>
          </w:p>
          <w:p>
            <w:pPr>
              <w:pStyle w:val="null3"/>
            </w:pPr>
            <w:r>
              <w:rPr>
                <w:rFonts w:ascii="仿宋_GB2312" w:hAnsi="仿宋_GB2312" w:cs="仿宋_GB2312" w:eastAsia="仿宋_GB2312"/>
              </w:rPr>
              <w:t>《混凝土中钢筋检测技术标准》JGJ/T152-2019</w:t>
            </w:r>
          </w:p>
          <w:p>
            <w:pPr>
              <w:pStyle w:val="null3"/>
            </w:pPr>
            <w:r>
              <w:rPr>
                <w:rFonts w:ascii="仿宋_GB2312" w:hAnsi="仿宋_GB2312" w:cs="仿宋_GB2312" w:eastAsia="仿宋_GB2312"/>
              </w:rPr>
              <w:t>《贯入法检测砌筑砂浆抗压强度技术规程》JGJ/T136-2017</w:t>
            </w:r>
          </w:p>
          <w:p>
            <w:pPr>
              <w:pStyle w:val="null3"/>
            </w:pPr>
            <w:r>
              <w:rPr>
                <w:rFonts w:ascii="仿宋_GB2312" w:hAnsi="仿宋_GB2312" w:cs="仿宋_GB2312" w:eastAsia="仿宋_GB2312"/>
              </w:rPr>
              <w:t>《砌体结构工程施工质量验收规范》GB50203-2011</w:t>
            </w:r>
          </w:p>
          <w:p>
            <w:pPr>
              <w:pStyle w:val="null3"/>
            </w:pPr>
            <w:r>
              <w:rPr>
                <w:rFonts w:ascii="仿宋_GB2312" w:hAnsi="仿宋_GB2312" w:cs="仿宋_GB2312" w:eastAsia="仿宋_GB2312"/>
              </w:rPr>
              <w:t>《建筑变形测量规范》JGJ8-2016</w:t>
            </w:r>
          </w:p>
          <w:p>
            <w:pPr>
              <w:pStyle w:val="null3"/>
            </w:pPr>
            <w:r>
              <w:rPr>
                <w:rFonts w:ascii="仿宋_GB2312" w:hAnsi="仿宋_GB2312" w:cs="仿宋_GB2312" w:eastAsia="仿宋_GB2312"/>
              </w:rPr>
              <w:t>《建筑结构荷载规范》GB50009-2012</w:t>
            </w:r>
          </w:p>
          <w:p>
            <w:pPr>
              <w:pStyle w:val="null3"/>
            </w:pPr>
            <w:r>
              <w:rPr>
                <w:rFonts w:ascii="仿宋_GB2312" w:hAnsi="仿宋_GB2312" w:cs="仿宋_GB2312" w:eastAsia="仿宋_GB2312"/>
              </w:rPr>
              <w:t>《建筑结构可靠性设计统一标准》GB50068-2018</w:t>
            </w:r>
          </w:p>
          <w:p>
            <w:pPr>
              <w:pStyle w:val="null3"/>
            </w:pPr>
            <w:r>
              <w:rPr>
                <w:rFonts w:ascii="仿宋_GB2312" w:hAnsi="仿宋_GB2312" w:cs="仿宋_GB2312" w:eastAsia="仿宋_GB2312"/>
              </w:rPr>
              <w:t>《混凝土结构设计规范》GB50010-2010(2015年版)</w:t>
            </w:r>
          </w:p>
          <w:p>
            <w:pPr>
              <w:pStyle w:val="null3"/>
            </w:pPr>
            <w:r>
              <w:rPr>
                <w:rFonts w:ascii="仿宋_GB2312" w:hAnsi="仿宋_GB2312" w:cs="仿宋_GB2312" w:eastAsia="仿宋_GB2312"/>
              </w:rPr>
              <w:t>《建筑抗震设计规范》GB50011-2010(2016年版)</w:t>
            </w:r>
          </w:p>
          <w:p>
            <w:pPr>
              <w:pStyle w:val="null3"/>
            </w:pPr>
            <w:r>
              <w:rPr>
                <w:rFonts w:ascii="仿宋_GB2312" w:hAnsi="仿宋_GB2312" w:cs="仿宋_GB2312" w:eastAsia="仿宋_GB2312"/>
              </w:rPr>
              <w:t>《民用建筑可靠性鉴定标准》GB50292-2015</w:t>
            </w:r>
          </w:p>
          <w:p>
            <w:pPr>
              <w:pStyle w:val="null3"/>
              <w:jc w:val="both"/>
            </w:pPr>
            <w:r>
              <w:rPr>
                <w:rFonts w:ascii="仿宋_GB2312" w:hAnsi="仿宋_GB2312" w:cs="仿宋_GB2312" w:eastAsia="仿宋_GB2312"/>
              </w:rPr>
              <w:t xml:space="preserve"> </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须满足项目进行鉴定及加固设计工作能力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完工后出具有效报告</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要求供应商以联合体参加，且联合体中中小企业达到100%或参与的供应商（联合体）服务全部由符合政策要求的中小企业承接。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或事业单位法人证书等国家规定的相关证明，自然人参与的提供其身份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银行开户许可证或开户行基本信息</w:t>
            </w:r>
          </w:p>
        </w:tc>
        <w:tc>
          <w:tcPr>
            <w:tcW w:type="dxa" w:w="3322"/>
          </w:tcPr>
          <w:p>
            <w:pPr>
              <w:pStyle w:val="null3"/>
            </w:pPr>
            <w:r>
              <w:rPr>
                <w:rFonts w:ascii="仿宋_GB2312" w:hAnsi="仿宋_GB2312" w:cs="仿宋_GB2312" w:eastAsia="仿宋_GB2312"/>
              </w:rPr>
              <w:t>银行开户许可证或开户行基本信息；（若为联合体，则联合体各成员均需提供）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法定代表人授权书（附法定代表人身份证复印件）及被授权人身份证（法定代表人直接参加须提供法定代表人身份证明及法定代表人身份证复印件）；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审计完整的财务审计报告（成立时间至提交响应文件截止时间不足一年的可提供成立后任意时段的资产负债表）或三个月内其基本存款账户开户银行出具的资信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提供截止磋商时间近一年内任意一个月已缴纳的纳税证明或完税证明，依法免税的供应商应提供相关文件证明；（若为联合体，则联合体各成员均需提供）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提供截止磋商时间近一年内任意一个月的社会保障资金缴存证明或社保机构开具的社会保险参保缴费情况证明；依法不需要缴纳社会保障资金的应提供相关文件证明；（若为联合体，则联合体各成员均需提供）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若为联合体，则联合体各成员均需提供）</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（1）应具有建设行政主管部门颁发的建设工程质量检测机构资质证书（检测范围至少须包含:建筑材料及构配件、主体结构及装饰装修、钢结构、地基基础），同时具有检验检测机构资质认定证书（CMA）； （2）应具有建设行政主管部门颁发的工程设计综合资质甲级资质或建筑行业工程设计乙级及以上资质或建筑行业（建筑工程）乙级及以上资质；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（1）项目总负责人须具备一级注册结构工程师执业资格证书； （2）检测负责人须具备一级注册结构工程师执业资格； （3）设计负责人须具备一级注册建筑师或一级注册结构工程师执业资格； （若供应商为联合体，则项目总负责人必须为联合体牵头人单位人员；项目总负责人和检测负责人可以为一人），（拟派负责人须具备近一年内任意一个月的缴纳社保凭证；对担任负责人的退休人员，不提供社保证明，但需提供与从业单位签订的劳动合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本项目接受联合体磋商，联合体提出磋商的，联合体各方应具备上述相应的资格条件，联合体成员个数最多不得超过2个。 联合体提出磋商的，应满足下列要求： （1）联合体各方具有独立法人资格，联合体各方应签订联合体磋商协议书，明确联合体牵头人和各方权利义务； （2）联合体各方不得再以自己名义单独或参加其他联合体在同一项目中磋商。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符合采购文件的实质性要求</w:t>
            </w:r>
          </w:p>
        </w:tc>
        <w:tc>
          <w:tcPr>
            <w:tcW w:type="dxa" w:w="3322"/>
          </w:tcPr>
          <w:p>
            <w:pPr>
              <w:pStyle w:val="null3"/>
            </w:pPr>
            <w:r>
              <w:rPr>
                <w:rFonts w:ascii="仿宋_GB2312" w:hAnsi="仿宋_GB2312" w:cs="仿宋_GB2312" w:eastAsia="仿宋_GB2312"/>
              </w:rPr>
              <w:t>供应商按照采购文件要求上传响应文件并进行电子签章</w:t>
            </w:r>
          </w:p>
        </w:tc>
        <w:tc>
          <w:tcPr>
            <w:tcW w:type="dxa" w:w="1661"/>
          </w:tcPr>
          <w:p>
            <w:pPr>
              <w:pStyle w:val="null3"/>
            </w:pPr>
            <w:r>
              <w:rPr>
                <w:rFonts w:ascii="仿宋_GB2312" w:hAnsi="仿宋_GB2312" w:cs="仿宋_GB2312" w:eastAsia="仿宋_GB2312"/>
              </w:rPr>
              <w:t>人员配备 售后服务方案 技术偏离表 磋商保证金 中小企业声明函 业绩 供应商认为有必要说明的其他问题 报价表 设计方案 安全保证措施 响应文件封面 资格证明文件 质量保证措施 项目进度计划与措施 商务偏离表 残疾人福利性单位声明函 标的清单 响应函 监狱企业的证明文件 检测方案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实质性满足磋商文件要求且最后报价最低价为磋商基准价，其价格分为满分10分。其它供应商的价格分统一按照下列公式计算：磋商报价得分=（磋商基准价/最后磋商报价）×10； 2、评审委员会有二分之一以上成员认为供应商的报价明显低于其他响应报价、或明显低于市场价格，使得其响应报价可能低于其成本的，应当要求该单位作出书面说明并提供相应的证明材料。该单位不能合理说明或者不能提供相应证明材料的，由评审委员会认定该供应商以低于成本报价竞标，其供应商响应文件作无效文件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一、评审内容 根据各供应商提供的检测方案包括但不限于项目①总体检测实施方案②组织及协调方案③具有规范完善的检测流程及内控制度。④安全评估方案。 二、评审标准 1.完整性：方案内容全面，有详细描述及其他内容的补充； 2.符合性：符合项目实际特点，合理、恰当； 3.针对性：切合本项目实际情况，叙述清楚，符合客观实际情况； 三、赋分标准（满分12分） ①总体检测实施方案：每完全满足一个评审标准得 1分，满分3分； ②组织及协调方案：每完全满足一个评审标准得 1分，满分 3分； ③具有规范完善的检测流程及内控制度：每完全满足一个评审标准得 1分，满分 3分； ④安全评估方案：每完全满足一个评审标准得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根据各供应商提供的设计方案包括但不限于项目①设计背景的理解②重点、难点分析③设计方案④工作流程和方式的理解。 二、评审标准 1.完整性：方案内容全面，有详细描述及其他内容的补充； 2.符合性：符合项目实际特点，合理、恰当； 3.针对性：切合本项目实际情况，叙述清楚，符合客观实际情况； 三、赋分标准（满分12分） ①设计背景的理解：每完全满足一个评审标准得 1分，满分3分； ②重点、难点分析：每完全满足一个评审标准得 1分，满分 3分； ③设计方案：每完全满足一个评审标准得 1分，满分 3分；④工作流程和方式的理解：每完全满足一个评审标准得 1分，满分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w:t>
            </w:r>
          </w:p>
        </w:tc>
      </w:tr>
      <w:tr>
        <w:tc>
          <w:tcPr>
            <w:tcW w:type="dxa" w:w="831"/>
            <w:vMerge/>
          </w:tcPr>
          <w:p/>
        </w:tc>
        <w:tc>
          <w:tcPr>
            <w:tcW w:type="dxa" w:w="1661"/>
          </w:tcPr>
          <w:p>
            <w:pPr>
              <w:pStyle w:val="null3"/>
            </w:pPr>
            <w:r>
              <w:rPr>
                <w:rFonts w:ascii="仿宋_GB2312" w:hAnsi="仿宋_GB2312" w:cs="仿宋_GB2312" w:eastAsia="仿宋_GB2312"/>
              </w:rPr>
              <w:t>项目进度计划与措施</w:t>
            </w:r>
          </w:p>
        </w:tc>
        <w:tc>
          <w:tcPr>
            <w:tcW w:type="dxa" w:w="2492"/>
          </w:tcPr>
          <w:p>
            <w:pPr>
              <w:pStyle w:val="null3"/>
            </w:pPr>
            <w:r>
              <w:rPr>
                <w:rFonts w:ascii="仿宋_GB2312" w:hAnsi="仿宋_GB2312" w:cs="仿宋_GB2312" w:eastAsia="仿宋_GB2312"/>
              </w:rPr>
              <w:t>一、评审内容 供应商根据本项目特点提出项目进度计划与措施，内容包括：①项目进度计划②计划保障措施③关键时间节点把握的情况。 二、评审标准 1.完整性：方案内容全面，有详细描述及其他内容的补充； 2.符合性：符合项目实际特点，合理、恰当；3.针对性：切合本项目实际情况，叙述清楚，符合客观实际情况； 三、赋分标准（满分 9分） ①项目进度计划：每完全满足一个评审标准得 1分，满分3分； ②计划保障措施：每完全满足一个评审标准得1分，满分3分； ③关键时间节点把握的情况：每完全满足一个评审标准得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项目进度计划与措施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供应商根据本项目特点提出质量保证措施，内容包括：①质量控制方案②质量体系建设。 二、评审标准 1.完整性：方案内容全面，有详细描述及其他内容的补充； 2.符合性：符合项目实际特点，合理、恰当； 3.针对性：切合本项目实际情况，叙述清楚，符合客观实际情况； 三、赋分标准（满分12分） ①质量控制方案：每完全满足一个评审标准得2分，满分6分； ②质量体系建设：每完全满足一个评审标准得2分，满分6分；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 供应商根据本项目特点提出安全保证措施，内容包括：①指定专项防护方案②明确人员防护装备 ③落实检测过程中对房屋原有结构的保护措施 二、评审标准 1.完整性：方案内容全面，有详细描述及其他内容的补充； 2.符合性：符合项目实际特点，合理、恰当； 三、赋分标准（满分 6分） ①指定专项防护方案：每完全满足一个评审标准得1.5分，满分3分；②明确人员防护装备：每完全满足一个评审标准得1.5分，满分 3分；③落实检测过程中对房屋原有结构的保护措施，每完全满足一个评审标准得1.5分，满分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供应商根据本项目特点提出项目售后服务方案，内容包括：①后续服务内容②服务保证措施。 二、评审标准 1.完整性：方案内容全面，有详细描述及其他内容的补充； 2.符合性：符合项目实际特点，合理、恰当；3.针对性：切合本项目实际情况，叙述清楚，符合客观实际情况； 三、赋分标准（满分12分） ①后续服务内容：每完全满足一个评审标准得 2分，满分6分； ②服务保证措施：每完全满足一个评审标准得2分，满分6分；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项目组成员（不含负责人）： （1）具有一级注册结构工程师或一级注册建筑师每提供一个得4分，最高得8分； （2）具有（试验检测或工程相关专业的初级及以上职称）或（二级及以上注册结构工程师或二级及以上注册建筑师）的，每提供一个得2分，最高得6分。 备注：以上人员须提供相关证件、劳动合同或供应商为其缴纳的截止磋商时间前一年内任意一个月的社保证明材料。未提供或提供不全的不得分。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供应商提供2023年1月至今已完成的类似业绩，提供一份得2分，最高得10分。（提供合同复印件）。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详见附件：检测方案</w:t>
      </w:r>
    </w:p>
    <w:p>
      <w:pPr>
        <w:pStyle w:val="null3"/>
        <w:ind w:firstLine="960"/>
      </w:pPr>
      <w:r>
        <w:rPr>
          <w:rFonts w:ascii="仿宋_GB2312" w:hAnsi="仿宋_GB2312" w:cs="仿宋_GB2312" w:eastAsia="仿宋_GB2312"/>
        </w:rPr>
        <w:t>详见附件：设计方案</w:t>
      </w:r>
    </w:p>
    <w:p>
      <w:pPr>
        <w:pStyle w:val="null3"/>
        <w:ind w:firstLine="960"/>
      </w:pPr>
      <w:r>
        <w:rPr>
          <w:rFonts w:ascii="仿宋_GB2312" w:hAnsi="仿宋_GB2312" w:cs="仿宋_GB2312" w:eastAsia="仿宋_GB2312"/>
        </w:rPr>
        <w:t>详见附件：项目进度计划与措施</w:t>
      </w:r>
    </w:p>
    <w:p>
      <w:pPr>
        <w:pStyle w:val="null3"/>
        <w:ind w:firstLine="960"/>
      </w:pPr>
      <w:r>
        <w:rPr>
          <w:rFonts w:ascii="仿宋_GB2312" w:hAnsi="仿宋_GB2312" w:cs="仿宋_GB2312" w:eastAsia="仿宋_GB2312"/>
        </w:rPr>
        <w:t>详见附件：质量保证措施</w:t>
      </w:r>
    </w:p>
    <w:p>
      <w:pPr>
        <w:pStyle w:val="null3"/>
        <w:ind w:firstLine="960"/>
      </w:pPr>
      <w:r>
        <w:rPr>
          <w:rFonts w:ascii="仿宋_GB2312" w:hAnsi="仿宋_GB2312" w:cs="仿宋_GB2312" w:eastAsia="仿宋_GB2312"/>
        </w:rPr>
        <w:t>详见附件：安全保证措施</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详见附件：供应商认为有必要说明的其他问题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