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版本号：GCZB2025-11-226-Q-0420260331001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中医药宣传服务项目(四次)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GCZB2025-11-226-Q-04</w:t>
      </w:r>
      <w:r>
        <w:br/>
      </w:r>
      <w:r>
        <w:br/>
      </w:r>
      <w:r>
        <w:br/>
      </w:r>
    </w:p>
    <w:p>
      <w:pPr>
        <w:pStyle w:val="null3"/>
        <w:jc w:val="center"/>
        <w:outlineLvl w:val="2"/>
      </w:pPr>
      <w:r>
        <w:rPr>
          <w:rFonts w:ascii="仿宋_GB2312" w:hAnsi="仿宋_GB2312" w:cs="仿宋_GB2312" w:eastAsia="仿宋_GB2312"/>
          <w:sz w:val="28"/>
          <w:b/>
        </w:rPr>
        <w:t>陕西省中医药管理局机关</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陕西省中医药管理局机关</w:t>
      </w:r>
      <w:r>
        <w:rPr>
          <w:rFonts w:ascii="仿宋_GB2312" w:hAnsi="仿宋_GB2312" w:cs="仿宋_GB2312" w:eastAsia="仿宋_GB2312"/>
        </w:rPr>
        <w:t>委托，拟对</w:t>
      </w:r>
      <w:r>
        <w:rPr>
          <w:rFonts w:ascii="仿宋_GB2312" w:hAnsi="仿宋_GB2312" w:cs="仿宋_GB2312" w:eastAsia="仿宋_GB2312"/>
        </w:rPr>
        <w:t>中医药宣传服务项目(四次)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GCZB2025-11-226-Q-04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中医药宣传服务项目(四次)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陕西省中医药管理局中医药宣传服务项目（四次），1项，具体内容详见采购文件。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采购包1（中医药宣传服务项目）：属于专门面向中小企业采购。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2、财务状况报告：提供经审计的2024年度的财务报告或提交响应文件截止时间前六个月内银行出具的资信证明；其他组织和自然人提供银行出具的资信证明或财务报表；</w:t>
      </w:r>
    </w:p>
    <w:p>
      <w:pPr>
        <w:pStyle w:val="null3"/>
      </w:pPr>
      <w:r>
        <w:rPr>
          <w:rFonts w:ascii="仿宋_GB2312" w:hAnsi="仿宋_GB2312" w:cs="仿宋_GB2312" w:eastAsia="仿宋_GB2312"/>
        </w:rPr>
        <w:t>3、社保缴纳证明：提供递交响应文件截止之日前一年内任意一个月的社会保障资金缴存单据或社保机构开具的社会保险参保缴费情况证明。依法不需要缴纳社会保障资金的供应商应提供相关证明文件；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6、具有履行合同所必须的设备和专业技术能力：具有履行合同所必须的设备和专业技术能力的说明及承诺；</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w:t>
      </w:r>
    </w:p>
    <w:p>
      <w:pPr>
        <w:pStyle w:val="null3"/>
      </w:pPr>
      <w:r>
        <w:rPr>
          <w:rFonts w:ascii="仿宋_GB2312" w:hAnsi="仿宋_GB2312" w:cs="仿宋_GB2312" w:eastAsia="仿宋_GB2312"/>
        </w:rPr>
        <w:t>8、中小企业声明函：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陕西省中医药管理局机关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陕西省西安市莲湖路112号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029-89620688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任倩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代理服务费收费标准：成交服务费参照国家发展和改革委员会《招标代理服务收费暂行办法》（计价格[2002]1980号）及发改办价格[2003]857号文件的规定收取。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陕西省中医药管理局机关</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陕西省中医药管理局机关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陕西省中医药管理局机关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联系电话：029-88899362（1152611386@qq.com）</w:t>
      </w:r>
    </w:p>
    <w:p>
      <w:pPr>
        <w:pStyle w:val="null3"/>
      </w:pPr>
      <w:r>
        <w:rPr>
          <w:rFonts w:ascii="仿宋_GB2312" w:hAnsi="仿宋_GB2312" w:cs="仿宋_GB2312" w:eastAsia="仿宋_GB2312"/>
        </w:rPr>
        <w:t>地址：高新一路5号正信大厦A座24楼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陕西省中医药管理局中医药宣传服务项目（四次），1项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中医药宣传服务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标的名称：中医药宣传服务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一、服务要求</w:t>
            </w:r>
          </w:p>
          <w:p>
            <w:pPr>
              <w:pStyle w:val="null3"/>
            </w:pPr>
            <w:r>
              <w:rPr>
                <w:rFonts w:ascii="仿宋_GB2312" w:hAnsi="仿宋_GB2312" w:cs="仿宋_GB2312" w:eastAsia="仿宋_GB2312"/>
              </w:rPr>
              <w:t>1、项目名称：陕西省中医药管理局中医药宣传服务项目（四次）</w:t>
            </w:r>
          </w:p>
          <w:p>
            <w:pPr>
              <w:pStyle w:val="null3"/>
            </w:pPr>
            <w:r>
              <w:rPr>
                <w:rFonts w:ascii="仿宋_GB2312" w:hAnsi="仿宋_GB2312" w:cs="仿宋_GB2312" w:eastAsia="仿宋_GB2312"/>
              </w:rPr>
              <w:t>2、服务期：自合同签订之日起一年</w:t>
            </w:r>
          </w:p>
          <w:p>
            <w:pPr>
              <w:pStyle w:val="null3"/>
            </w:pPr>
            <w:r>
              <w:rPr>
                <w:rFonts w:ascii="仿宋_GB2312" w:hAnsi="仿宋_GB2312" w:cs="仿宋_GB2312" w:eastAsia="仿宋_GB2312"/>
              </w:rPr>
              <w:t>3、服务地点：采购人指定地点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二、服务要求</w:t>
            </w:r>
          </w:p>
          <w:p>
            <w:pPr>
              <w:pStyle w:val="null3"/>
            </w:pPr>
            <w:r>
              <w:rPr>
                <w:rFonts w:ascii="仿宋_GB2312" w:hAnsi="仿宋_GB2312" w:cs="仿宋_GB2312" w:eastAsia="仿宋_GB2312"/>
              </w:rPr>
              <w:t>1.丰富陕西中医药宣传内容，提升陕西省中医药工作在全国及国际宣传影响力。有参与国家级媒体纪录片、新闻报道等宣传内容制作经验及与本需求相关优秀案例者优先。</w:t>
            </w:r>
          </w:p>
          <w:p>
            <w:pPr>
              <w:pStyle w:val="null3"/>
            </w:pPr>
            <w:r>
              <w:rPr>
                <w:rFonts w:ascii="仿宋_GB2312" w:hAnsi="仿宋_GB2312" w:cs="仿宋_GB2312" w:eastAsia="仿宋_GB2312"/>
              </w:rPr>
              <w:t>2.制作一批中医药宣传产品，其中短视频（实景拍摄或动漫）不少于80个，图文不少于100个。包含但不限于以下主题：</w:t>
            </w:r>
          </w:p>
          <w:p>
            <w:pPr>
              <w:pStyle w:val="null3"/>
            </w:pPr>
            <w:r>
              <w:rPr>
                <w:rFonts w:ascii="仿宋_GB2312" w:hAnsi="仿宋_GB2312" w:cs="仿宋_GB2312" w:eastAsia="仿宋_GB2312"/>
              </w:rPr>
              <w:t>（1）政策类：党中央国务院时事内容，中医药法、陕西中医药条例等法律法规和重大中医药相关政策；</w:t>
            </w:r>
          </w:p>
          <w:p>
            <w:pPr>
              <w:pStyle w:val="null3"/>
            </w:pPr>
            <w:r>
              <w:rPr>
                <w:rFonts w:ascii="仿宋_GB2312" w:hAnsi="仿宋_GB2312" w:cs="仿宋_GB2312" w:eastAsia="仿宋_GB2312"/>
              </w:rPr>
              <w:t>（2）科普类：二十四节气中医养生系列，日常中医药养生知识，中医药参与糖尿病防治、体重管理、近视防控、儿科和精神卫生服务、老年健康管理等内容；</w:t>
            </w:r>
          </w:p>
          <w:p>
            <w:pPr>
              <w:pStyle w:val="null3"/>
            </w:pPr>
            <w:r>
              <w:rPr>
                <w:rFonts w:ascii="仿宋_GB2312" w:hAnsi="仿宋_GB2312" w:cs="仿宋_GB2312" w:eastAsia="仿宋_GB2312"/>
              </w:rPr>
              <w:t>（3）动态类：全国、全省中医药工作重要信息；</w:t>
            </w:r>
          </w:p>
          <w:p>
            <w:pPr>
              <w:pStyle w:val="null3"/>
            </w:pPr>
            <w:r>
              <w:rPr>
                <w:rFonts w:ascii="仿宋_GB2312" w:hAnsi="仿宋_GB2312" w:cs="仿宋_GB2312" w:eastAsia="仿宋_GB2312"/>
              </w:rPr>
              <w:t>（4）其它类：爱国卫生运动、国家安全教育、网络安全等，含临时增加的内容。</w:t>
            </w:r>
          </w:p>
          <w:p>
            <w:pPr>
              <w:pStyle w:val="null3"/>
            </w:pPr>
            <w:r>
              <w:rPr>
                <w:rFonts w:ascii="仿宋_GB2312" w:hAnsi="仿宋_GB2312" w:cs="仿宋_GB2312" w:eastAsia="仿宋_GB2312"/>
              </w:rPr>
              <w:t>3.在省级以上权威新闻媒体发布中医医疗、教育、科研、文化、产业、对外合作交流等方面内容，覆盖全国全省各地各级中医类医教研企等机构和个人，含工作进展成效、重大会议活动、先进典型等内容。宣传形式可针对某人某事单独编发，也可视情组稿编发。全年编发不少于20篇。</w:t>
            </w:r>
          </w:p>
          <w:p>
            <w:pPr>
              <w:pStyle w:val="null3"/>
            </w:pPr>
            <w:r>
              <w:rPr>
                <w:rFonts w:ascii="仿宋_GB2312" w:hAnsi="仿宋_GB2312" w:cs="仿宋_GB2312" w:eastAsia="仿宋_GB2312"/>
              </w:rPr>
              <w:t>4.选择5个以上影响力大、受众范围广的传统和新媒体平台，将以上宣传内容、新闻信息和省中医药管理局提供的其它内容进行投放发布。</w:t>
            </w:r>
          </w:p>
          <w:p>
            <w:pPr>
              <w:pStyle w:val="null3"/>
            </w:pPr>
            <w:r>
              <w:rPr>
                <w:rFonts w:ascii="仿宋_GB2312" w:hAnsi="仿宋_GB2312" w:cs="仿宋_GB2312" w:eastAsia="仿宋_GB2312"/>
              </w:rPr>
              <w:t>5.供应商安排1人驻场协助做好中医药文化建设和新闻宣传工作。</w:t>
            </w:r>
          </w:p>
          <w:p>
            <w:pPr>
              <w:pStyle w:val="null3"/>
            </w:pPr>
            <w:r>
              <w:rPr>
                <w:rFonts w:ascii="仿宋_GB2312" w:hAnsi="仿宋_GB2312" w:cs="仿宋_GB2312" w:eastAsia="仿宋_GB2312"/>
              </w:rPr>
              <w:t>6.服务完成后需提供全部服务内容的总结报告。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陕西省中医药管理局指定地点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待达到约定</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保证金退还: 1）未中标单位：招标结束后，将根据所提供信息退还各投标单位保证金，无需亲自前来办理；2）成交单位：在采购合同签订并按规定交纳代理服务费后五个工作日内退还。（办理退保证金：需提供与甲方签订的合同原件的扫描件一份（pdf格式）发送至此邮箱（945990512@qq.com）,发送时务必备注项目名称+项目编号，发送成功后告知此联系方式：029-89286620-808）；中标服务费查询请联系财务部：029-89286620转808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提供经审计的2024年度的财务报告或提交响应文件截止时间前六个月内银行出具的资信证明；其他组织和自然人提供银行出具的资信证明或财务报表；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具有履行合同所必须的设备和专业技术能力的说明及承诺；</w:t>
            </w:r>
          </w:p>
        </w:tc>
        <w:tc>
          <w:tcPr>
            <w:tcW w:type="dxa" w:w="1661"/>
          </w:tcPr>
          <w:p>
            <w:pPr>
              <w:pStyle w:val="null3"/>
            </w:pPr>
            <w:r>
              <w:rPr>
                <w:rFonts w:ascii="仿宋_GB2312" w:hAnsi="仿宋_GB2312" w:cs="仿宋_GB2312" w:eastAsia="仿宋_GB2312"/>
              </w:rPr>
              <w:t>具有履行合同所必须的设备和专业技术能力.docx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控股管理关系.docx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二）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 （2）计量单位、报价货币均符合磋商文件要求； （3）第一次磋商报价未超出采购预算或磋商文件规定的最高限价。</w:t>
            </w:r>
          </w:p>
        </w:tc>
        <w:tc>
          <w:tcPr>
            <w:tcW w:type="dxa" w:w="1661"/>
          </w:tcPr>
          <w:p>
            <w:pPr>
              <w:pStyle w:val="null3"/>
            </w:pPr>
            <w:r>
              <w:rPr>
                <w:rFonts w:ascii="仿宋_GB2312" w:hAnsi="仿宋_GB2312" w:cs="仿宋_GB2312" w:eastAsia="仿宋_GB2312"/>
              </w:rPr>
              <w:t>响应文件封面 分项报价表-服务.docx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有完全理解并接受磋商文件合同基本条款要求的描述。</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具有服务体系和工作流程，针对采购人要求的服务内容及服务工作要求制订切实可行的整体服务方案，得15分；评审内容每缺一项扣3分，评审内容每有一处缺陷未完全响应评审标准的扣0.1-2.9分，扣完为止。未提供不得分。缺陷是指：与本项目采购标的无关、存在不适用于本项目的内容、内容前后不一致、前后逻辑错误、涉及的规范及标准错误、内容缺失、不符合采购需求、只有简单标题或内容、无实质内容。</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编辑方案</w:t>
            </w:r>
          </w:p>
        </w:tc>
        <w:tc>
          <w:tcPr>
            <w:tcW w:type="dxa" w:w="2492"/>
          </w:tcPr>
          <w:p>
            <w:pPr>
              <w:pStyle w:val="null3"/>
            </w:pPr>
            <w:r>
              <w:rPr>
                <w:rFonts w:ascii="仿宋_GB2312" w:hAnsi="仿宋_GB2312" w:cs="仿宋_GB2312" w:eastAsia="仿宋_GB2312"/>
              </w:rPr>
              <w:t>供应商有严格的编辑流程和编校质量检查及审读制度，内部管理制度及质量控制管理制度，确保出产内容的质量。方案内容全面，合理实用，能够确保安全可靠、正确的新闻信息传输，得10分；评审内容每缺一项扣2.5分，评审内容每有一处缺陷未完全响应评审标准的扣0.1-2分，扣完为止。未提供不得分。缺陷是指：与本项目采购标的无关、存在不适用于本项目的内容、内容前后不一致、前后逻辑错误、涉及的规范及标准错误、内容缺失、不符合采购需求、只有简单标题或内容、无实质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拍摄方案</w:t>
            </w:r>
          </w:p>
        </w:tc>
        <w:tc>
          <w:tcPr>
            <w:tcW w:type="dxa" w:w="2492"/>
          </w:tcPr>
          <w:p>
            <w:pPr>
              <w:pStyle w:val="null3"/>
            </w:pPr>
            <w:r>
              <w:rPr>
                <w:rFonts w:ascii="仿宋_GB2312" w:hAnsi="仿宋_GB2312" w:cs="仿宋_GB2312" w:eastAsia="仿宋_GB2312"/>
              </w:rPr>
              <w:t>供应商围绕中医药宣传内容选取视频素材、图文制作、创意策划、拍摄、制作和发布提供方案。视频素材选取、宣传片策划应充分展示采购人特色，满足采购人制作要求，得10分；评审内容每缺一项扣2.5分，评审内容每有一处缺陷未完全响应评审标准的扣0.1-2分，扣完为止。未提供不得分。 缺陷是指：与本项目采购标的无关、存在不适用于本项目的内容、内容前后不一致、前后逻辑错误、涉及的规范及标准错误、内容缺失、不符合采购需求、只有简单标题或内容、无实质内容。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供应商提供针对本项目的媒体宣传方案。方案包含针对各环节中的宣传报道、宣传思路。方案完善，思路清晰正确，能保证此次宣传效果的，得10分；评审内容每缺一项扣2.5分，评审内容每有一处缺陷未完全响应评审标准的扣0.1-2分，扣完为止。未提供不得分。缺陷是指：与本项目采购标的无关、存在不适用于本项目的内容、内容前后不一致、前后逻辑错误、涉及的规范及标准错误、内容缺失、不符合采购需求、只有简单标题或内容、无实质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宣传媒体</w:t>
            </w:r>
          </w:p>
        </w:tc>
        <w:tc>
          <w:tcPr>
            <w:tcW w:type="dxa" w:w="2492"/>
          </w:tcPr>
          <w:p>
            <w:pPr>
              <w:pStyle w:val="null3"/>
            </w:pPr>
            <w:r>
              <w:rPr>
                <w:rFonts w:ascii="仿宋_GB2312" w:hAnsi="仿宋_GB2312" w:cs="仿宋_GB2312" w:eastAsia="仿宋_GB2312"/>
              </w:rPr>
              <w:t>供应商能根据宣传需求邀请相关媒体，提供拟宣传媒体的详细清单及合作证明材料（不限于授权、销售协议等）。邀请的媒体符合本项目采购内容，能达到宣传效果，证明材料齐全的，得5分；不齐全计1-4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供应商提供针对本项目拟投入的工作人员配备的情况说明及经验能力证明材料，提供拟派的人员配备清单（包含成员数量、成员姓名、岗位职责、驻场服务、工作经验等）。 项目团队人员充足、职责明确、组成结构合理、人员配合合理、证明材料齐全、经验丰富得10分；以上方面中每缺少一方面内容2分；评审内容每有一处缺陷未完全响应评审标准的扣0.1-1.9分，扣完为止。未提供不得分。缺陷是指：与本项目采购标的无关、存在不适用于本项目的内容、内容前后不一致、前后逻辑错误、涉及的规范及标准错误、内容缺失、不符合采购需求、只有简单标题或内容、无实质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宣传产品清单</w:t>
            </w:r>
          </w:p>
        </w:tc>
        <w:tc>
          <w:tcPr>
            <w:tcW w:type="dxa" w:w="2492"/>
          </w:tcPr>
          <w:p>
            <w:pPr>
              <w:pStyle w:val="null3"/>
            </w:pPr>
            <w:r>
              <w:rPr>
                <w:rFonts w:ascii="仿宋_GB2312" w:hAnsi="仿宋_GB2312" w:cs="仿宋_GB2312" w:eastAsia="仿宋_GB2312"/>
              </w:rPr>
              <w:t>供应商提供针对本项目前期拍摄、后期制作、成片剪辑等过程中拟采用的设备清单。设备专业、功能齐全、数量完全满足项目需要得5分，评审内容每缺一项扣2分，评审内容每有一处缺陷未完全响应评审标准的扣0.1-1.9分，扣完为止。未提供不得分。缺陷是指：与本项目采购标的无关、存在不适用于本项目的内容、内容前后不一致、前后逻辑错误、涉及的规范及标准错误、内容缺失、不符合采购需求、只有简单标题或内容、无实质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供应商提供针对本项目的项目进度保障措施，包含进度计划、各阶段进度控制保证措施、突发情况的应急措施等。进度计划清晰合理，各阶段保证措施切实到位得5分；评审内容每缺一项扣2分，评审内容每有一处缺陷未完全响应评审标准的扣0.1-1.9分，扣完为止。未提供不得分。 缺陷是指：与本项目采购标的无关、存在不适用于本项目的内容、内容前后不一致、前后逻辑错误、涉及的规范及标准错误、内容缺失、不符合采购需求、只有简单标题或内容、无实质内容。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供应商针对本项目须确保项目能按时、按质、完成，并提供达到项目建设预期效果的服务承诺和保证措施，且有具体的技术服务措施、后期跟进服务能力。 承诺合理全面、完整性高，合理，能够紧扣项目实际情况，得5分；评审内容每缺一项扣1分，评审内容每有一处缺陷未完全响应评审标准的扣0.5-0.9分，扣完为止。未提供不得分。 缺陷是指：与本项目采购标的无关、存在不适用于本项目的内容、内容前后不一致、前后逻辑错误、涉及的规范及标准错误、内容缺失、不符合采购需求、只有简单标题或内容、无实质内容。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提供供应商2022年7月1日至今（以合同签订时间为准），供应商具有类似服务业绩的，每提供一份计2分，满分10分。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服务内容提供具体可行的售后服务方案，在项目实施过程中及后续的工作程序中与采购人积极的配合程度，具有突发特殊情况应急保障预案，服务内容全面、合理，能够紧扣项目实际情况，得5分；评审内容每缺一项扣1分，评审内容每有一处缺陷未完全响应评审标准的扣0.1-0.9分，扣完为止。未提供不得分。 缺陷是指：与本项目采购标的无关、存在不适用于本项目的内容、内容前后不一致、前后逻辑错误、涉及的规范及标准错误、内容缺失、不符合采购需求、只有简单标题或内容、无实质内容。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详见附件：具有履行合同所必须的设备和专业技术能力.docx</w:t>
      </w:r>
    </w:p>
    <w:p>
      <w:pPr>
        <w:pStyle w:val="null3"/>
        <w:ind w:firstLine="960"/>
      </w:pPr>
      <w:r>
        <w:rPr>
          <w:rFonts w:ascii="仿宋_GB2312" w:hAnsi="仿宋_GB2312" w:cs="仿宋_GB2312" w:eastAsia="仿宋_GB2312"/>
        </w:rPr>
        <w:t>详见附件：控股管理关系.docx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详见附件：分项报价表-服务.docx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详见附件：商务及合同主要条款.docx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