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版本号：RH采字【20260313】号20260331001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高重频高能量全固态激光器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RH采字【20260313】号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高重频高能量全固态激光器</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RH采字【20260313】号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高重频高能量全固态激光器</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高重频高能量全固态激光器采购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银行账号：3700024819200044620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80～400万项目招标代理服务费调整比例按照报价依据的60%计费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联系人：石雨鑫、张丰利、刘菲、王倩倩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高重频高能量全固态激光器采购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高重频高能量全固态激光器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标的名称：高重频高能量全固态激光器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中心波长：</w:t>
            </w:r>
            <w:r>
              <w:rPr>
                <w:rFonts w:ascii="仿宋_GB2312" w:hAnsi="仿宋_GB2312" w:cs="仿宋_GB2312" w:eastAsia="仿宋_GB2312"/>
                <w:sz w:val="21"/>
                <w:color w:val="000000"/>
              </w:rPr>
              <w:t>354.7±0.05nm</w:t>
            </w:r>
            <w:r>
              <w:rPr>
                <w:rFonts w:ascii="仿宋_GB2312" w:hAnsi="仿宋_GB2312" w:cs="仿宋_GB2312" w:eastAsia="仿宋_GB2312"/>
                <w:sz w:val="21"/>
                <w:color w:val="000000"/>
              </w:rPr>
              <w:t>，</w:t>
            </w:r>
            <w:r>
              <w:rPr>
                <w:rFonts w:ascii="仿宋_GB2312" w:hAnsi="仿宋_GB2312" w:cs="仿宋_GB2312" w:eastAsia="仿宋_GB2312"/>
                <w:sz w:val="21"/>
                <w:color w:val="000000"/>
              </w:rPr>
              <w:t>532.1±0.05nm</w:t>
            </w:r>
            <w:r>
              <w:rPr>
                <w:rFonts w:ascii="仿宋_GB2312" w:hAnsi="仿宋_GB2312" w:cs="仿宋_GB2312" w:eastAsia="仿宋_GB2312"/>
                <w:sz w:val="21"/>
                <w:color w:val="000000"/>
              </w:rPr>
              <w:t>，</w:t>
            </w:r>
            <w:r>
              <w:rPr>
                <w:rFonts w:ascii="仿宋_GB2312" w:hAnsi="仿宋_GB2312" w:cs="仿宋_GB2312" w:eastAsia="仿宋_GB2312"/>
                <w:sz w:val="21"/>
                <w:color w:val="000000"/>
              </w:rPr>
              <w:t>1064.2±0.05nm</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空气中</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重复频率：</w:t>
            </w:r>
            <w:r>
              <w:rPr>
                <w:rFonts w:ascii="仿宋_GB2312" w:hAnsi="仿宋_GB2312" w:cs="仿宋_GB2312" w:eastAsia="仿宋_GB2312"/>
                <w:sz w:val="21"/>
              </w:rPr>
              <w:t>100Hz</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脉冲宽度：</w:t>
            </w:r>
            <w:r>
              <w:rPr>
                <w:rFonts w:ascii="仿宋_GB2312" w:hAnsi="仿宋_GB2312" w:cs="仿宋_GB2312" w:eastAsia="仿宋_GB2312"/>
                <w:sz w:val="21"/>
              </w:rPr>
              <w:t>≤</w:t>
            </w:r>
            <w:r>
              <w:rPr>
                <w:rFonts w:ascii="仿宋_GB2312" w:hAnsi="仿宋_GB2312" w:cs="仿宋_GB2312" w:eastAsia="仿宋_GB2312"/>
                <w:sz w:val="21"/>
              </w:rPr>
              <w:t>10ns@355nm</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线宽：</w:t>
            </w:r>
            <w:r>
              <w:rPr>
                <w:rFonts w:ascii="仿宋_GB2312" w:hAnsi="仿宋_GB2312" w:cs="仿宋_GB2312" w:eastAsia="仿宋_GB2312"/>
                <w:sz w:val="21"/>
              </w:rPr>
              <w:t>≤</w:t>
            </w:r>
            <w:r>
              <w:rPr>
                <w:rFonts w:ascii="仿宋_GB2312" w:hAnsi="仿宋_GB2312" w:cs="仿宋_GB2312" w:eastAsia="仿宋_GB2312"/>
                <w:sz w:val="21"/>
              </w:rPr>
              <w:t>200MHz@355nm</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基频种子光与脉冲光中心频率偏差：</w:t>
            </w:r>
            <w:r>
              <w:rPr>
                <w:rFonts w:ascii="仿宋_GB2312" w:hAnsi="仿宋_GB2312" w:cs="仿宋_GB2312" w:eastAsia="仿宋_GB2312"/>
                <w:sz w:val="21"/>
              </w:rPr>
              <w:t>≤</w:t>
            </w:r>
            <w:r>
              <w:rPr>
                <w:rFonts w:ascii="仿宋_GB2312" w:hAnsi="仿宋_GB2312" w:cs="仿宋_GB2312" w:eastAsia="仿宋_GB2312"/>
                <w:sz w:val="21"/>
              </w:rPr>
              <w:t>5MHz@1</w:t>
            </w:r>
            <w:r>
              <w:rPr>
                <w:rFonts w:ascii="仿宋_GB2312" w:hAnsi="仿宋_GB2312" w:cs="仿宋_GB2312" w:eastAsia="仿宋_GB2312"/>
                <w:sz w:val="21"/>
              </w:rPr>
              <w:t>小时</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脉冲能量：</w:t>
            </w:r>
            <w:r>
              <w:rPr>
                <w:rFonts w:ascii="仿宋_GB2312" w:hAnsi="仿宋_GB2312" w:cs="仿宋_GB2312" w:eastAsia="仿宋_GB2312"/>
                <w:sz w:val="21"/>
              </w:rPr>
              <w:t>≥</w:t>
            </w:r>
            <w:r>
              <w:rPr>
                <w:rFonts w:ascii="仿宋_GB2312" w:hAnsi="仿宋_GB2312" w:cs="仿宋_GB2312" w:eastAsia="仿宋_GB2312"/>
                <w:sz w:val="21"/>
              </w:rPr>
              <w:t>200mJ@354.7nm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80mJ@532.1nm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120mJ@1064.2nm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发散角（全角）：</w:t>
            </w:r>
            <w:r>
              <w:rPr>
                <w:rFonts w:ascii="仿宋_GB2312" w:hAnsi="仿宋_GB2312" w:cs="仿宋_GB2312" w:eastAsia="仿宋_GB2312"/>
                <w:sz w:val="21"/>
              </w:rPr>
              <w:t>≤</w:t>
            </w:r>
            <w:r>
              <w:rPr>
                <w:rFonts w:ascii="仿宋_GB2312" w:hAnsi="仿宋_GB2312" w:cs="仿宋_GB2312" w:eastAsia="仿宋_GB2312"/>
                <w:sz w:val="21"/>
              </w:rPr>
              <w:t>0.15mrad@354.7nm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0.2mrad@532.1nm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0.2mrad@1064.2nm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功率稳定性（</w:t>
            </w:r>
            <w:r>
              <w:rPr>
                <w:rFonts w:ascii="仿宋_GB2312" w:hAnsi="仿宋_GB2312" w:cs="仿宋_GB2312" w:eastAsia="仿宋_GB2312"/>
                <w:sz w:val="21"/>
              </w:rPr>
              <w:t>2h,RMS</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室温</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光斑大小（扩束后）：</w:t>
            </w:r>
            <w:r>
              <w:rPr>
                <w:rFonts w:ascii="仿宋_GB2312" w:hAnsi="仿宋_GB2312" w:cs="仿宋_GB2312" w:eastAsia="仿宋_GB2312"/>
                <w:sz w:val="21"/>
              </w:rPr>
              <w:t>≤</w:t>
            </w:r>
            <w:r>
              <w:rPr>
                <w:rFonts w:ascii="仿宋_GB2312" w:hAnsi="仿宋_GB2312" w:cs="仿宋_GB2312" w:eastAsia="仿宋_GB2312"/>
                <w:sz w:val="21"/>
              </w:rPr>
              <w:t>20mm</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同步输出信号：</w:t>
            </w:r>
            <w:r>
              <w:rPr>
                <w:rFonts w:ascii="仿宋_GB2312" w:hAnsi="仿宋_GB2312" w:cs="仿宋_GB2312" w:eastAsia="仿宋_GB2312"/>
                <w:sz w:val="21"/>
              </w:rPr>
              <w:t>3.3~5V@50Ω TTL</w:t>
            </w:r>
            <w:r>
              <w:rPr>
                <w:rFonts w:ascii="仿宋_GB2312" w:hAnsi="仿宋_GB2312" w:cs="仿宋_GB2312" w:eastAsia="仿宋_GB2312"/>
                <w:sz w:val="21"/>
              </w:rPr>
              <w:t>信号，宽度</w:t>
            </w:r>
            <w:r>
              <w:rPr>
                <w:rFonts w:ascii="仿宋_GB2312" w:hAnsi="仿宋_GB2312" w:cs="仿宋_GB2312" w:eastAsia="仿宋_GB2312"/>
                <w:sz w:val="21"/>
              </w:rPr>
              <w:t>≥</w:t>
            </w:r>
            <w:r>
              <w:rPr>
                <w:rFonts w:ascii="仿宋_GB2312" w:hAnsi="仿宋_GB2312" w:cs="仿宋_GB2312" w:eastAsia="仿宋_GB2312"/>
                <w:sz w:val="21"/>
              </w:rPr>
              <w:t>1μs</w:t>
            </w:r>
            <w:r>
              <w:rPr>
                <w:rFonts w:ascii="仿宋_GB2312" w:hAnsi="仿宋_GB2312" w:cs="仿宋_GB2312" w:eastAsia="仿宋_GB2312"/>
                <w:sz w:val="21"/>
              </w:rPr>
              <w:t>，上升沿</w:t>
            </w:r>
            <w:r>
              <w:rPr>
                <w:rFonts w:ascii="仿宋_GB2312" w:hAnsi="仿宋_GB2312" w:cs="仿宋_GB2312" w:eastAsia="仿宋_GB2312"/>
                <w:sz w:val="21"/>
              </w:rPr>
              <w:t>≤</w:t>
            </w:r>
            <w:r>
              <w:rPr>
                <w:rFonts w:ascii="仿宋_GB2312" w:hAnsi="仿宋_GB2312" w:cs="仿宋_GB2312" w:eastAsia="仿宋_GB2312"/>
                <w:sz w:val="21"/>
              </w:rPr>
              <w:t>50ns</w:t>
            </w:r>
            <w:r>
              <w:rPr>
                <w:rFonts w:ascii="仿宋_GB2312" w:hAnsi="仿宋_GB2312" w:cs="仿宋_GB2312" w:eastAsia="仿宋_GB2312"/>
                <w:sz w:val="21"/>
              </w:rPr>
              <w:t>，</w:t>
            </w:r>
            <w:r>
              <w:rPr>
                <w:rFonts w:ascii="仿宋_GB2312" w:hAnsi="仿宋_GB2312" w:cs="仿宋_GB2312" w:eastAsia="仿宋_GB2312"/>
                <w:sz w:val="21"/>
              </w:rPr>
              <w:t>Jitter</w:t>
            </w:r>
            <w:r>
              <w:rPr>
                <w:rFonts w:ascii="仿宋_GB2312" w:hAnsi="仿宋_GB2312" w:cs="仿宋_GB2312" w:eastAsia="仿宋_GB2312"/>
                <w:sz w:val="21"/>
              </w:rPr>
              <w:t>＜</w:t>
            </w:r>
            <w:r>
              <w:rPr>
                <w:rFonts w:ascii="仿宋_GB2312" w:hAnsi="仿宋_GB2312" w:cs="仿宋_GB2312" w:eastAsia="仿宋_GB2312"/>
                <w:sz w:val="21"/>
              </w:rPr>
              <w:t xml:space="preserve">2ns </w:t>
            </w:r>
            <w:r>
              <w:rPr>
                <w:rFonts w:ascii="仿宋_GB2312" w:hAnsi="仿宋_GB2312" w:cs="仿宋_GB2312" w:eastAsia="仿宋_GB2312"/>
                <w:sz w:val="21"/>
              </w:rPr>
              <w:t>（相对于光脉冲）</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触发信号：</w:t>
            </w:r>
            <w:r>
              <w:rPr>
                <w:rFonts w:ascii="仿宋_GB2312" w:hAnsi="仿宋_GB2312" w:cs="仿宋_GB2312" w:eastAsia="仿宋_GB2312"/>
                <w:sz w:val="21"/>
              </w:rPr>
              <w:t>3.3~5V@50Ω TTL</w:t>
            </w:r>
            <w:r>
              <w:rPr>
                <w:rFonts w:ascii="仿宋_GB2312" w:hAnsi="仿宋_GB2312" w:cs="仿宋_GB2312" w:eastAsia="仿宋_GB2312"/>
                <w:sz w:val="21"/>
              </w:rPr>
              <w:t>信号</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rPr>
              <w:t>功率监测：对种子光、</w:t>
            </w:r>
            <w:r>
              <w:rPr>
                <w:rFonts w:ascii="仿宋_GB2312" w:hAnsi="仿宋_GB2312" w:cs="仿宋_GB2312" w:eastAsia="仿宋_GB2312"/>
                <w:sz w:val="21"/>
              </w:rPr>
              <w:t>1064.2nm</w:t>
            </w:r>
            <w:r>
              <w:rPr>
                <w:rFonts w:ascii="仿宋_GB2312" w:hAnsi="仿宋_GB2312" w:cs="仿宋_GB2312" w:eastAsia="仿宋_GB2312"/>
                <w:sz w:val="21"/>
              </w:rPr>
              <w:t>基频光输出、</w:t>
            </w:r>
            <w:r>
              <w:rPr>
                <w:rFonts w:ascii="仿宋_GB2312" w:hAnsi="仿宋_GB2312" w:cs="仿宋_GB2312" w:eastAsia="仿宋_GB2312"/>
                <w:sz w:val="21"/>
              </w:rPr>
              <w:t>354.7nm</w:t>
            </w:r>
            <w:r>
              <w:rPr>
                <w:rFonts w:ascii="仿宋_GB2312" w:hAnsi="仿宋_GB2312" w:cs="仿宋_GB2312" w:eastAsia="仿宋_GB2312"/>
                <w:sz w:val="21"/>
              </w:rPr>
              <w:t>输出光功率进行监测</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rPr>
              <w:t>触发方式：外触发</w:t>
            </w:r>
            <w:r>
              <w:rPr>
                <w:rFonts w:ascii="仿宋_GB2312" w:hAnsi="仿宋_GB2312" w:cs="仿宋_GB2312" w:eastAsia="仿宋_GB2312"/>
                <w:sz w:val="21"/>
              </w:rPr>
              <w:t>/</w:t>
            </w:r>
            <w:r>
              <w:rPr>
                <w:rFonts w:ascii="仿宋_GB2312" w:hAnsi="仿宋_GB2312" w:cs="仿宋_GB2312" w:eastAsia="仿宋_GB2312"/>
                <w:sz w:val="21"/>
              </w:rPr>
              <w:t>内触发</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1"/>
              </w:rPr>
              <w:t>通信协议：</w:t>
            </w:r>
            <w:r>
              <w:rPr>
                <w:rFonts w:ascii="仿宋_GB2312" w:hAnsi="仿宋_GB2312" w:cs="仿宋_GB2312" w:eastAsia="仿宋_GB2312"/>
                <w:sz w:val="21"/>
              </w:rPr>
              <w:t>RS422</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1"/>
              </w:rPr>
              <w:t>冷却方式：水冷</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1"/>
              </w:rPr>
              <w:t>存储环境温度：</w:t>
            </w:r>
            <w:r>
              <w:rPr>
                <w:rFonts w:ascii="仿宋_GB2312" w:hAnsi="仿宋_GB2312" w:cs="仿宋_GB2312" w:eastAsia="仿宋_GB2312"/>
                <w:sz w:val="21"/>
              </w:rPr>
              <w:t>-20~50℃</w:t>
            </w:r>
            <w:r>
              <w:rPr>
                <w:rFonts w:ascii="仿宋_GB2312" w:hAnsi="仿宋_GB2312" w:cs="仿宋_GB2312" w:eastAsia="仿宋_GB2312"/>
                <w:sz w:val="21"/>
              </w:rPr>
              <w:t>（含冷却液）</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接采购人书面通知后90个日历日完成供货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合同签订后满足支付条件预付中标价格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设备交付、安装、调试且验收合格后，中标人出具全额增值税专用发票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包装运输要求： （1）包装标准：中标人提供产品及相关快递服务的包装要求，按照《商品包装政府采购需求标准（试行）》、《快递包装政府采购需求标准（试行）》执行，确保防潮、防震、防锈蚀；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（3）运输责任：运输由中标人负责，运杂费已包含在合同总价内。包括从货物供应地点运送至交付地点所含的运输费、装卸费、调试安装费、保险费等；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产品质保：（1）按甲方要求开展产品验收，安装与调试和操作培训。（2）质保期内提供技术响应和维修服务。（3）自验收合格之日起1年。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（4）质保服务：保修期内由中标人免费质保，采购人报修后1工作日内投标人快速响应，1-2个工作日给出解决方案，3-5个工作日上门解决，否则将依据有关法律、法规进行追偿； （5）瑕疵责任：中标人提供产品应无任何瑕疵，符合国际、国内相关标准。如在使用过程中本产品存在隐蔽瑕疵造成任何安全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一、其他商务要求： 【一】采购标的的安装调试及配套工程、质量保证、售后服务等要求： （1）安装调试要求 安装要求：货到用户指定现场，供应方需派专业技术工程师到现场，安装、调试。 调试周期：连续48小时运行测试； 人员培训：提供相关操作人员培训资料。 （3）质量保证 免费保修1年(包含水冷机、电源、耗材、光学晶体、光学镜片等所有部件和配件)。 （4）售后服务 响应时限：享受24小时快速响应，1-2个工作日给出解决方案，3-5个工作日上门解决。 【二】其他说明：运输供应、安装调试、检测验收等服务包含在总价中。 【三】采购标的验收标准： （1）验收依据 招标文件、投标文件及技术澄清文件（函））； （2）验收流程 ①到货初检（采购人、中标人共同参与）： 检查外包装完整性、防伪标识、运输损伤情况； 核对货物型号、数量、规格是否与合同一致； 检查随机文件（合格证、说明书、保修卡等）。 ②安装调试验收 安装和调试，调试记录完整。 ③性能测试验收（关键指标实测） 连续运行48小时无故障； 关键参数与投标文件承诺值对比（允许±3%偏差）。 ④最终验收 签署《验收报告》，产品保修期自验收合格之日起算，由中标人提供产品保修文件。 二、纸质投标文件要求： ①为顺利推进政府采购电子化交易平台应用工作，投标人需要在线提交所有通过电子化交易平台实施的政府采购项目的投标文件，同时，线下提交纸质投标文件正本壹份、副本贰份,投标文件需包含目录、无少页、缺页、连续页码（或单独使用打码器打码）②纸质投标文件正、副本分别胶装，标明投标人名称密封递交，递交截止时间同在线递交电子投标文件截止时间一致，递交地址：陕西省西安市曲江新区雁翔路3269号旺座曲江D座30层（纸质投标文件可邮寄，邮件发出时间应在递交电子投标文件截止时间之前，邮寄地址：陕西省西安市曲江新区雁翔路3269号旺座曲江D座30层，联系人：王工，联系电话：15091632950）。③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投标文件按招标文件要求的数量、计量单位、报价货币及签字盖章（合格），投标文件未按招标文件要求的数量、计量单位、报价货币及签字盖章（不合格）</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技术、商务响应内容满足实质性要求</w:t>
            </w:r>
          </w:p>
        </w:tc>
        <w:tc>
          <w:tcPr>
            <w:tcW w:type="dxa" w:w="3322"/>
          </w:tcPr>
          <w:p>
            <w:pPr>
              <w:pStyle w:val="null3"/>
            </w:pPr>
            <w:r>
              <w:rPr>
                <w:rFonts w:ascii="仿宋_GB2312" w:hAnsi="仿宋_GB2312" w:cs="仿宋_GB2312" w:eastAsia="仿宋_GB2312"/>
              </w:rPr>
              <w:t>技术响应内容满足《招标文件》第三章第3.3条“技术要求”中带“★”的实质性要求且商务响应内容满足《招标文件》第三章第3.4条“商务要求”、3.5条“其他要求”（合格），任意一条不满足（不合格）</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选型符合使用需求，配置完整合理，其型号、技术参数清晰明确，根据投标产品的技术指标和性能对招标文件的响应程度计分。产品整体功能或技术参数完全满足招标文件要求计36分，部分项负偏离按以下说明扣分。 1.技术参数要求中标“★”项（3项）实质性要求，任有一项不满足视为无效投标； 2.技术参数要求中标“▲”项（5项）重要要求，满分20分，每负偏离一项扣4分； 3.技术参数要求中非标“★”、“▲”项（8项）其他要求，满分16分，每负偏离一项扣2分。 注：实质性要求（“★”项）、重要要求（“▲”项）偏离情况除产品技术参数表响应外还须提供相应的参数指标证明文件，包括产品彩页或功能截图或检测报告或制造商出具的参数证明文件等，否则视为负偏离。</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投标人需针对本项目提供完整的项目实施方案。内容包含：①供货组织及进度安排②对接及运输方案③安装调试方案④人员、物力调配安排。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 ①供货组织及进度安排：每完全满足一个评审标准得1分，满分3分； ②对接及运输方案:每完全满足一个评审标准得1分，满分3分； ③安装调试方案:每完全满足一个评审标准得1分，满分3分； ④人员、物力调配安排：每完全满足一个评审标准得1分，满分3分。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 二、评审标准 1.完整性：方案必须全面，对评审内容中的各项要求有详细描述； 2.可实施性：切合本项目实际情况，提出步骤清晰、合理的方案； 3.针对性：方案能够紧扣项目实际情况，内容科学合理。 三、赋分依据 ①产品性能：每完全满足一个评审标准得1分，满分3分； ②使用寿命及效果:每完全满足一个评审标准得1分，满分3分； ③交货及安装时间:每完全满足一个评审标准得1分，满分3分。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提供投标人2023年1月1日以来类似项目业绩（以合同签订日期为准），每份合格业绩合同计1分，满分4分。 赋分依据：需提供完整业绩合同及对应货款发票（任意一张）复印件，加盖投标人公章；或者提供完整业绩合同及中标结果公告，并加盖投标人公章。前述证明材料同时提供方可得分，否则不得分。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 ①售后服务范围：每完全满足一个评审标准得0.5分，满分1.5分； ②响应时间及方式：每完全满足一个评审标准得0.5分，满分1.5分； ③故障处理及补救措施：每完全满足一个评审标准得0.5分，满分1.5分； ④定期回访及维护：每完全满足一个评审标准得0.5分，满分1.5分。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针对本项目的特点和需求等内容提供增值服务承诺（包括：冷却液、过滤皿等增值服务）。每提供一项承诺，得1分，满分2分。无承诺不得分。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承诺质保期在满足招标文件（1年）要求的基础上，每增加一年得0.5分，满1分。无承诺不得分。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有效投标人的最低报价（落实政府采购政策进行价格调整的，以调整后的价格计算）为基准价得30分，其他各投标人的报价得分按下列公式计算：（基准价/投标报价）×30％×100。 注：根据《国务院办公厅关于在政府采购中实施本国产品标准及相关政策的通知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详见附件：质保期.docx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