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版本号：DRZB2025-ZC-20820260304001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2024年省级产业基础再造和制造业高质量发展专项资金制造业转型升级（产业基础再造、制造业能力提升、传统产业技术改造）项目绩效评价项目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DRZB2025-ZC-208</w:t>
      </w:r>
      <w:r>
        <w:br/>
      </w:r>
      <w:r>
        <w:br/>
      </w:r>
      <w:r>
        <w:br/>
      </w:r>
    </w:p>
    <w:p>
      <w:pPr>
        <w:pStyle w:val="null3"/>
        <w:jc w:val="center"/>
        <w:outlineLvl w:val="2"/>
      </w:pPr>
      <w:r>
        <w:rPr>
          <w:rFonts w:ascii="仿宋_GB2312" w:hAnsi="仿宋_GB2312" w:cs="仿宋_GB2312" w:eastAsia="仿宋_GB2312"/>
          <w:sz w:val="28"/>
          <w:b/>
        </w:rPr>
        <w:t>陕西省工业和信息化厅机关</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陕西省工业和信息化厅机关</w:t>
      </w:r>
      <w:r>
        <w:rPr>
          <w:rFonts w:ascii="仿宋_GB2312" w:hAnsi="仿宋_GB2312" w:cs="仿宋_GB2312" w:eastAsia="仿宋_GB2312"/>
        </w:rPr>
        <w:t>委托，拟对</w:t>
      </w:r>
      <w:r>
        <w:rPr>
          <w:rFonts w:ascii="仿宋_GB2312" w:hAnsi="仿宋_GB2312" w:cs="仿宋_GB2312" w:eastAsia="仿宋_GB2312"/>
        </w:rPr>
        <w:t>2024年省级产业基础再造和制造业高质量发展专项资金制造业转型升级（产业基础再造、制造业能力提升、传统产业技术改造）项目绩效评价项目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DRZB2025-ZC-208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2024年省级产业基础再造和制造业高质量发展专项资金制造业转型升级（产业基础再造、制造业能力提升、传统产业技术改造）项目绩效评价项目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2024年省级产业基础再造和制造业高质量发展专项资金制造业转型升级（产业基础再造、制造业能力提升、传统产业技术改造）项目绩效评价项目，具体详见采购文件。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6、承诺函：参加本次政府采购活动前3年内在经营活动中没有重大违纪，以及未被列入失信被执行人、重大税收违法失信主体、政府采购严重违法失信行为记录名单的书面声明；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关联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陕西省工业和信息化厅机关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省政府前大楼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方力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029-63915542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采购包1保证金金额：9,208.00元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银行账号：61050172650000000081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之前，向采购代理机构一次付清招标代理服务费。本项目招标代理服务费参照“国家计委关于印发《招标代理服务收费管理暂行办法》的通知国家发改委文件计价格〔2002〕1980号、发改办价格〔2003〕857号及发改价格〔2015〕299号规定按照“服务类”项目的取费标准，以中标(成交)价为基数计算，按照标准下浮20%收取。招标代理服务费由成交供应商向采购代理机构支付，如本项目服务费不足伍仟元则按伍仟元支付服务费。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陕西省工业和信息化厅机关</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陕西省工业和信息化厅机关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陕西省工业和信息化厅机关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国家相关标准、行业标准、地方标准或者其他标准、规范。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联系人：韩钊、张海燕、赵璐、苏庆春、曹静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2024年省级产业基础再造和制造业高质量发展专项资金制造业转型升级（产业基础再造、制造业能力提升、传统产业技术改造）项目绩效评价项目，具体详见采购文件。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2024年省级产业基础再造和制造业高质量发展专项资金制造业转型升级（产业基础再造、制造业能力提升、传统产业技术改造）项目绩效评价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标的名称：2024年省级产业基础再造和制造业高质量发展专项资金制造业转型升级（产业基础再造、制造业能力提升、传统产业技术改造）项目绩效评价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1.绩效评价范围</w:t>
            </w:r>
          </w:p>
          <w:p>
            <w:pPr>
              <w:pStyle w:val="null3"/>
            </w:pPr>
            <w:r>
              <w:rPr>
                <w:rFonts w:ascii="仿宋_GB2312" w:hAnsi="仿宋_GB2312" w:cs="仿宋_GB2312" w:eastAsia="仿宋_GB2312"/>
              </w:rPr>
              <w:t>对 2024年度中、省财政专项资金支持项目（57个）进行绩效评价,深入全省各市（区）和企业项目建设地进行现场检查和评价，协调市级、县级工信部门与项目单位，按项目建设的内容规模和项目规范管理的要求，查验项目建设有关资料和实际进展情况，形成单个项目评价意见。在对每个项目进行绩效评价基础上，形成单个项目、各市区项目、省级项目、中央项目的绩效评价报告。</w:t>
            </w:r>
          </w:p>
          <w:p>
            <w:pPr>
              <w:pStyle w:val="null3"/>
            </w:pPr>
            <w:r>
              <w:rPr>
                <w:rFonts w:ascii="仿宋_GB2312" w:hAnsi="仿宋_GB2312" w:cs="仿宋_GB2312" w:eastAsia="仿宋_GB2312"/>
              </w:rPr>
              <w:t>2.绩效评价内容</w:t>
            </w:r>
          </w:p>
          <w:p>
            <w:pPr>
              <w:pStyle w:val="null3"/>
            </w:pPr>
            <w:r>
              <w:rPr>
                <w:rFonts w:ascii="仿宋_GB2312" w:hAnsi="仿宋_GB2312" w:cs="仿宋_GB2312" w:eastAsia="仿宋_GB2312"/>
              </w:rPr>
              <w:t>2.1 绩效目标的设定情况、完成情况及效果（以资金申请报告中的绩效目标申报表内容为主）。</w:t>
            </w:r>
          </w:p>
          <w:p>
            <w:pPr>
              <w:pStyle w:val="null3"/>
            </w:pPr>
            <w:r>
              <w:rPr>
                <w:rFonts w:ascii="仿宋_GB2312" w:hAnsi="仿宋_GB2312" w:cs="仿宋_GB2312" w:eastAsia="仿宋_GB2312"/>
              </w:rPr>
              <w:t>2.2 资金构成、到位情况和使用情况，包括投资总额、银行贷款、自筹资金等。</w:t>
            </w:r>
          </w:p>
          <w:p>
            <w:pPr>
              <w:pStyle w:val="null3"/>
            </w:pPr>
            <w:r>
              <w:rPr>
                <w:rFonts w:ascii="仿宋_GB2312" w:hAnsi="仿宋_GB2312" w:cs="仿宋_GB2312" w:eastAsia="仿宋_GB2312"/>
              </w:rPr>
              <w:t>2.3 项目实施进度及建设内容完成情况。</w:t>
            </w:r>
          </w:p>
          <w:p>
            <w:pPr>
              <w:pStyle w:val="null3"/>
            </w:pPr>
            <w:r>
              <w:rPr>
                <w:rFonts w:ascii="仿宋_GB2312" w:hAnsi="仿宋_GB2312" w:cs="仿宋_GB2312" w:eastAsia="仿宋_GB2312"/>
              </w:rPr>
              <w:t>2.4 为实现绩效目标制定的制度、采取的措施等。</w:t>
            </w:r>
          </w:p>
          <w:p>
            <w:pPr>
              <w:pStyle w:val="null3"/>
            </w:pPr>
            <w:r>
              <w:rPr>
                <w:rFonts w:ascii="仿宋_GB2312" w:hAnsi="仿宋_GB2312" w:cs="仿宋_GB2312" w:eastAsia="仿宋_GB2312"/>
              </w:rPr>
              <w:t>2.5 项目建成后的经济效益、社会效益，项目实施对工业转型升级重大战略的支撑作用。</w:t>
            </w:r>
          </w:p>
          <w:p>
            <w:pPr>
              <w:pStyle w:val="null3"/>
            </w:pPr>
            <w:r>
              <w:rPr>
                <w:rFonts w:ascii="仿宋_GB2312" w:hAnsi="仿宋_GB2312" w:cs="仿宋_GB2312" w:eastAsia="仿宋_GB2312"/>
              </w:rPr>
              <w:t>2.6 绩效评价结果分析。包括项目评分统计分析、取得的成效分析、存在问题及原因分析、绩效评价结论意见等。</w:t>
            </w:r>
          </w:p>
          <w:p>
            <w:pPr>
              <w:pStyle w:val="null3"/>
            </w:pPr>
            <w:r>
              <w:rPr>
                <w:rFonts w:ascii="仿宋_GB2312" w:hAnsi="仿宋_GB2312" w:cs="仿宋_GB2312" w:eastAsia="仿宋_GB2312"/>
              </w:rPr>
              <w:t>3.绩效评价要求</w:t>
            </w:r>
          </w:p>
          <w:p>
            <w:pPr>
              <w:pStyle w:val="null3"/>
            </w:pPr>
            <w:r>
              <w:rPr>
                <w:rFonts w:ascii="仿宋_GB2312" w:hAnsi="仿宋_GB2312" w:cs="仿宋_GB2312" w:eastAsia="仿宋_GB2312"/>
              </w:rPr>
              <w:t>3.1 绩效评价工作涉及全省各市区，项目具体分布在各市区县，绩效评价必须深入到项目所在地现场进行。</w:t>
            </w:r>
          </w:p>
          <w:p>
            <w:pPr>
              <w:pStyle w:val="null3"/>
            </w:pPr>
            <w:r>
              <w:rPr>
                <w:rFonts w:ascii="仿宋_GB2312" w:hAnsi="仿宋_GB2312" w:cs="仿宋_GB2312" w:eastAsia="仿宋_GB2312"/>
              </w:rPr>
              <w:t>3.2 协调全省各市区及相关项目所在地工信部门，通过查验现场、查看资料、召开会议等方式全面掌握项目建设情况，形成区域绩效评价报告。</w:t>
            </w:r>
          </w:p>
          <w:p>
            <w:pPr>
              <w:pStyle w:val="null3"/>
            </w:pPr>
            <w:r>
              <w:rPr>
                <w:rFonts w:ascii="仿宋_GB2312" w:hAnsi="仿宋_GB2312" w:cs="仿宋_GB2312" w:eastAsia="仿宋_GB2312"/>
              </w:rPr>
              <w:t>3.3对抽查的每个项目要形成单个项目绩效评价报告。</w:t>
            </w:r>
          </w:p>
          <w:p>
            <w:pPr>
              <w:pStyle w:val="null3"/>
            </w:pPr>
            <w:r>
              <w:rPr>
                <w:rFonts w:ascii="仿宋_GB2312" w:hAnsi="仿宋_GB2312" w:cs="仿宋_GB2312" w:eastAsia="仿宋_GB2312"/>
              </w:rPr>
              <w:t xml:space="preserve">3.4 2024年度财政有关专项资金项目绩效评价报告由单个项目评价报告、各市区评价报告、省级项目评价报告、中央项目评价报告和绩效评价总报告组成。        </w:t>
            </w:r>
          </w:p>
          <w:p>
            <w:pPr>
              <w:pStyle w:val="null3"/>
            </w:pPr>
            <w:r>
              <w:rPr>
                <w:rFonts w:ascii="仿宋_GB2312" w:hAnsi="仿宋_GB2312" w:cs="仿宋_GB2312" w:eastAsia="仿宋_GB2312"/>
              </w:rPr>
              <w:t xml:space="preserve"> 3.5这次绩效评价工作政策性强、项目涉及专业门类多，涉及装备制造、电子信息、有色冶金、化工、建材、新材料、食品、医药、纺织、轻工、节能综合利用、大数据及两化融合等行业，涉及经济管理、技术管理、财务管理、项目管理、资金审计等多项工作，要求从事此项工作的专业团队素质要高，并且要具有相关业务的丰富经验。长期关注我省产业工业转型升级发展状况、熟悉相关支持政策等；</w:t>
            </w:r>
          </w:p>
          <w:p>
            <w:pPr>
              <w:pStyle w:val="null3"/>
            </w:pPr>
            <w:r>
              <w:rPr>
                <w:rFonts w:ascii="仿宋_GB2312" w:hAnsi="仿宋_GB2312" w:cs="仿宋_GB2312" w:eastAsia="仿宋_GB2312"/>
              </w:rPr>
              <w:t>4.人员要求</w:t>
            </w:r>
          </w:p>
          <w:p>
            <w:pPr>
              <w:pStyle w:val="null3"/>
            </w:pPr>
            <w:r>
              <w:rPr>
                <w:rFonts w:ascii="仿宋_GB2312" w:hAnsi="仿宋_GB2312" w:cs="仿宋_GB2312" w:eastAsia="仿宋_GB2312"/>
              </w:rPr>
              <w:t>4.1 具有省委省政府决策咨询机构成员等高级别专家参与项目；</w:t>
            </w:r>
          </w:p>
          <w:p>
            <w:pPr>
              <w:pStyle w:val="null3"/>
            </w:pPr>
            <w:r>
              <w:rPr>
                <w:rFonts w:ascii="仿宋_GB2312" w:hAnsi="仿宋_GB2312" w:cs="仿宋_GB2312" w:eastAsia="仿宋_GB2312"/>
              </w:rPr>
              <w:t>4.2 需组建不少于 2 个绩效评价小组，每个小组不少于 4 人；每小组中至少有 1 人具有工程、经济、财务等类高级职称，且具备 3 年以上工作经验；专家团队 60%以上人员从事过同类资金绩效评价业务，且从事 3 年以相关领域工作经验。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合同签订之日起六个月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国家相关标准、行业标准、地方标准或者其他标准、规范。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待中标人完成全部工作后一个月内，采购人一次性支付剩余所有费用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投标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 （三）供应商提交的相关说明和证明材料，应当加盖供应商（法定名称）电子印章，在磋商小组要求的时间内通过项目电子化交易系统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分项报价表（第一次）.docx 标的清单 报价表 报价一览表（首次）.docx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8服务承诺.docx 2工作进度安排.docx 供应商认为有必要说明的其他资料.docx 中小企业声明函 6项目团队人员配备.docx 5重点、难点分析及解决方案.docx 服务偏离表.docx 资格证明文件.docx 1总体服务方案.docx 响应文件封面 7保密方案.docx 残疾人福利性单位声明函 分项报价表（第一次）.docx 3成果报告及交付方案.docx 9类似业绩.docx 标的清单 4质量保障措施及应急预案.docx 保证金缴纳凭证.docx 报价一览表（首次）.docx 响应函 商务偏离表.docx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分项报价表（第一次）.docx 标的清单 报价一览表（首次）.docx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8服务承诺.docx 2工作进度安排.docx 供应商认为有必要说明的其他资料.docx 中小企业声明函 6项目团队人员配备.docx 5重点、难点分析及解决方案.docx 服务偏离表.docx 资格证明文件.docx 1总体服务方案.docx 响应文件封面 7保密方案.docx 残疾人福利性单位声明函 分项报价表（第一次）.docx 3成果报告及交付方案.docx 9类似业绩.docx 标的清单 4质量保障措施及应急预案.docx 保证金缴纳凭证.docx 报价一览表（首次）.docx 响应函 商务偏离表.docx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符合采购文件商务条款，无重大保留或偏差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8服务承诺.docx 2工作进度安排.docx 供应商认为有必要说明的其他资料.docx 中小企业声明函 6项目团队人员配备.docx 5重点、难点分析及解决方案.docx 服务偏离表.docx 资格证明文件.docx 1总体服务方案.docx 响应文件封面 7保密方案.docx 残疾人福利性单位声明函 分项报价表（第一次）.docx 3成果报告及交付方案.docx 9类似业绩.docx 标的清单 4质量保障措施及应急预案.docx 保证金缴纳凭证.docx 报价一览表（首次）.docx 响应函 商务偏离表.docx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针对本项目提供总体服务方案，包括但不限于①项目理解；②绩效评价整体工作方案及思路；③调查工作范围；④资料收集与审核；⑤实地调研及数据分析；⑥绩效评价、资金核查分析及目标。 二、评审标准 1、完整性：方案须全面，对评审内容中的各项要求有详细描述； 2、可实施性：切合本项目实际情况，实施步骤清晰、合理； 3、针对性：方案能够紧扣项目实际情况，内容科学合理。 三、赋分依据（满分18分） ①项目理解：每完全满足一个评审标准得1分，满分3分； ②绩效评价工作整体方案及思路：每完全满足一个评审标准得1分，满分3分； ③调查工作范围：每完全满足一个评审标准得1分，满分3分； ④资料收集与审核：每完全满足一个评审标准得1分，满分3分； ⑤实地调研及数据分析：每完全满足一个评审标准得1分，满分3分； ⑥绩效评价、资金核查分析及目标：每完全满足一个评审标准得1分，满分3分。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1总体服务方案.docx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 针对本项目提供工作进度安排，包括但不限于①项目进度安排；②组织协调措施；③总体及各阶段时间节点控制方法；④工作进度保障措施。 二、评审标准 1、完整性：方案须全面，对评审内容中的各项要求有详细描述； 2、可实施性：切合本项目实际情况，实施步骤清晰、合理； 3、针对性：方案能够紧扣项目实际情况，内容科学合理。 三、赋分依据（满分12分） ①项目进度安排：每完全满足一个评审标准得1分，满分3分； ②组织协调措施：每完全满足一个评审标准得1分，满分3分； ③总体及各阶段时间节点控制方法：每完全满足一个评审标准得1分，满分3分； ④工作进度保障措施：每完全满足一个评审标准得1分，满分3分。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2工作进度安排.docx</w:t>
            </w:r>
          </w:p>
        </w:tc>
      </w:tr>
      <w:tr>
        <w:tc>
          <w:tcPr>
            <w:tcW w:type="dxa" w:w="831"/>
            <w:vMerge/>
          </w:tcPr>
          <w:p/>
        </w:tc>
        <w:tc>
          <w:tcPr>
            <w:tcW w:type="dxa" w:w="1661"/>
          </w:tcPr>
          <w:p>
            <w:pPr>
              <w:pStyle w:val="null3"/>
            </w:pPr>
            <w:r>
              <w:rPr>
                <w:rFonts w:ascii="仿宋_GB2312" w:hAnsi="仿宋_GB2312" w:cs="仿宋_GB2312" w:eastAsia="仿宋_GB2312"/>
              </w:rPr>
              <w:t>成果报告及交付方案</w:t>
            </w:r>
          </w:p>
        </w:tc>
        <w:tc>
          <w:tcPr>
            <w:tcW w:type="dxa" w:w="2492"/>
          </w:tcPr>
          <w:p>
            <w:pPr>
              <w:pStyle w:val="null3"/>
            </w:pPr>
            <w:r>
              <w:rPr>
                <w:rFonts w:ascii="仿宋_GB2312" w:hAnsi="仿宋_GB2312" w:cs="仿宋_GB2312" w:eastAsia="仿宋_GB2312"/>
              </w:rPr>
              <w:t>一、评审内容 针对本项目提供成果报告及交付方案，包括但不限于①报告编制思路；②相关依据与适配性；③成果质量及交付保障；④全过程资料的收集、整理及移交。 二、评审标准 1、完整性：方案须全面，对评审内容中的各项要求有详细描述； 2、可实施性：切合本项目实际情况，实施步骤清晰、合理； 3、针对性：方案能够紧扣项目实际情况，内容科学合理。 三、赋分依据（满分12分） ①报告编制思路：每完全满足一个评审标准得1分，满分3分； ②相关依据与适配性：每完全满足一个评审标准得1分，满分3分； ③成果质量及交付保障：每完全满足一个评审标准得1分，满分3分； ④全过程资料的收集、整理及移交：每完全满足一个评审标准得1分，满分3分。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3成果报告及交付方案.docx</w:t>
            </w:r>
          </w:p>
        </w:tc>
      </w:tr>
      <w:tr>
        <w:tc>
          <w:tcPr>
            <w:tcW w:type="dxa" w:w="831"/>
            <w:vMerge/>
          </w:tcPr>
          <w:p/>
        </w:tc>
        <w:tc>
          <w:tcPr>
            <w:tcW w:type="dxa" w:w="1661"/>
          </w:tcPr>
          <w:p>
            <w:pPr>
              <w:pStyle w:val="null3"/>
            </w:pPr>
            <w:r>
              <w:rPr>
                <w:rFonts w:ascii="仿宋_GB2312" w:hAnsi="仿宋_GB2312" w:cs="仿宋_GB2312" w:eastAsia="仿宋_GB2312"/>
              </w:rPr>
              <w:t>质量保障措施及应急预案</w:t>
            </w:r>
          </w:p>
        </w:tc>
        <w:tc>
          <w:tcPr>
            <w:tcW w:type="dxa" w:w="2492"/>
          </w:tcPr>
          <w:p>
            <w:pPr>
              <w:pStyle w:val="null3"/>
            </w:pPr>
            <w:r>
              <w:rPr>
                <w:rFonts w:ascii="仿宋_GB2312" w:hAnsi="仿宋_GB2312" w:cs="仿宋_GB2312" w:eastAsia="仿宋_GB2312"/>
              </w:rPr>
              <w:t>一、评审内容 针对本项目提供质量保障措施及应急预案，包括但不限于：①项目质量保障措施；②安全保障措施；③项目实施中突发应急解决方案等。 二、评审标准 1、完整性：方案须全面，对评审内容中的各项要求有详细描述； 2、可实施性：切合本项目实际情况，实施步骤清晰、合理； 3、针对性：方案能够紧扣项目实际情况，内容科学合理。 三、赋分依据（满分9分） ①项目质量保障措施：每完全满足一个评审标准得1分，满分3分； ②安全保障措施：每完全满足一个评审标准得1分，满分3分； ③项目实施中突发应急解决方案等：每完全满足一个评审标准得1分，满分3分。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4质量保障措施及应急预案.docx</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一、评审内容 针对本项目提供重点、难点分析及解决方案，包括但不限于：①提出本项目实施过程中容易出错或忽略的重点、难点分析；②针对所提出的重点、难点有相应的解决方案；③合理化建议。 二、评审标准 1、完整性：方案须全面，对评审内容中的各项要求有详细描述； 2、可实施性：切合本项目实际情况，实施步骤清晰、合理； 3、针对性：方案能够紧扣项目实际情况，内容科学合理。 三、赋分依据（满分9分） ①提出本项目实施过程中容易出错或忽略的重点、难点分析：每完全满足一个评审标准得1分，满分3分； ②针对所提出的重点、难点有相应的解决方案：每完全满足一个评审标准得1分，满分3分； ③合理化建议：每完全满足一个评审标准得1分，满分3分。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5重点、难点分析及解决方案.docx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 针对本项目提供完善的项目团队人员配备，包括但不限于：①项目服务团队架构；②项目人员岗位划分及职责；③项目人员管理制度。 二、评审标准 1、完整性：方案须全面，对评审内容中的各项要求有详细描述； 2、可实施性：切合本项目实际情况，实施步骤清晰、合理； 3、针对性：方案能够紧扣项目实际情况，内容科学合理。 三、赋分依据（满分9分） ①项目服务团队架构：每完全满足一个评审标准得1分，满分3分； ②项目人员岗位划分及职责：每完全满足一个评审标准得1分，满分3分； ③项目人员管理制度：每完全满足一个评审标准得1分，满分3分。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6项目团队人员配备.docx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 针对本项目提供保密方案，包括但不限于：①保密制度制定；②涉密文件资料的管理及保密管理人员配备；③泄密责任追究及泄密补救措施。 二、评审标准 1、完整性：方案须全面，对评审内容中的各项要求有详细描述； 2、可实施性：切合本项目实际情况，实施步骤清晰、合理； 3、针对性：方案能够紧扣项目实际情况，内容科学合理。 三、赋分依据（满分4.5分） ①保密制度制定：每完全满足一个评审标准得0.5分，满分1.5分； ②涉密文件资料的管理及保密管理人员配备：每完全满足一个评审标准得0.5分，满分1.5分； ③泄密责任追究及泄密补救措施：每完全满足一个评审标准得0.5分，满分1.5分。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7保密方案.docx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针对本项目提供服务承诺，包括但不限于：①项目质量保证的承诺；②数据及调查情况真实性保证；③后续协调及服务的承诺； 二、评审标准 1、完整性：方案须全面，对评审内容中的各项要求有详细描述； 2、可实施性：切合本项目实际情况，实施步骤清晰、合理； 3、针对性：方案能够紧扣项目实际情况，内容科学合理。 三、赋分依据（满分9分） ①项目质量保证的承诺：每完全满足一个评审标准得1分，满分3分； ②数据及调查情况真实性保证：每完全满足一个评审标准得1分，满分3分； ③后续协调及服务的承诺：每完全满足一个评审标准得1分，满分3分。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供应商提供2021年02月01日至今财政专项资金绩效评价业绩（以合同签订日期为准），每提供1个得1.5分；提供合同复印件并加盖公章，满分7.5分。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报价一览表（首次）.docx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分项报价表（第一次）.docx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报价一览表（首次）.docx</w:t>
            </w:r>
          </w:p>
          <w:p>
            <w:pPr>
              <w:pStyle w:val="null3"/>
            </w:pPr>
            <w:r>
              <w:rPr>
                <w:rFonts w:ascii="仿宋_GB2312" w:hAnsi="仿宋_GB2312" w:cs="仿宋_GB2312" w:eastAsia="仿宋_GB2312"/>
              </w:rPr>
              <w:t>分项报价表（第一次）.docx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详见附件：报价一览表（首次）.docx</w:t>
      </w:r>
    </w:p>
    <w:p>
      <w:pPr>
        <w:pStyle w:val="null3"/>
        <w:ind w:firstLine="960"/>
      </w:pPr>
      <w:r>
        <w:rPr>
          <w:rFonts w:ascii="仿宋_GB2312" w:hAnsi="仿宋_GB2312" w:cs="仿宋_GB2312" w:eastAsia="仿宋_GB2312"/>
        </w:rPr>
        <w:t>详见附件：分项报价表（第一次）.docx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详见附件：1总体服务方案.docx</w:t>
      </w:r>
    </w:p>
    <w:p>
      <w:pPr>
        <w:pStyle w:val="null3"/>
        <w:ind w:firstLine="960"/>
      </w:pPr>
      <w:r>
        <w:rPr>
          <w:rFonts w:ascii="仿宋_GB2312" w:hAnsi="仿宋_GB2312" w:cs="仿宋_GB2312" w:eastAsia="仿宋_GB2312"/>
        </w:rPr>
        <w:t>详见附件：2工作进度安排.docx</w:t>
      </w:r>
    </w:p>
    <w:p>
      <w:pPr>
        <w:pStyle w:val="null3"/>
        <w:ind w:firstLine="960"/>
      </w:pPr>
      <w:r>
        <w:rPr>
          <w:rFonts w:ascii="仿宋_GB2312" w:hAnsi="仿宋_GB2312" w:cs="仿宋_GB2312" w:eastAsia="仿宋_GB2312"/>
        </w:rPr>
        <w:t>详见附件：3成果报告及交付方案.docx</w:t>
      </w:r>
    </w:p>
    <w:p>
      <w:pPr>
        <w:pStyle w:val="null3"/>
        <w:ind w:firstLine="960"/>
      </w:pPr>
      <w:r>
        <w:rPr>
          <w:rFonts w:ascii="仿宋_GB2312" w:hAnsi="仿宋_GB2312" w:cs="仿宋_GB2312" w:eastAsia="仿宋_GB2312"/>
        </w:rPr>
        <w:t>详见附件：4质量保障措施及应急预案.docx</w:t>
      </w:r>
    </w:p>
    <w:p>
      <w:pPr>
        <w:pStyle w:val="null3"/>
        <w:ind w:firstLine="960"/>
      </w:pPr>
      <w:r>
        <w:rPr>
          <w:rFonts w:ascii="仿宋_GB2312" w:hAnsi="仿宋_GB2312" w:cs="仿宋_GB2312" w:eastAsia="仿宋_GB2312"/>
        </w:rPr>
        <w:t>详见附件：5重点、难点分析及解决方案.docx</w:t>
      </w:r>
    </w:p>
    <w:p>
      <w:pPr>
        <w:pStyle w:val="null3"/>
        <w:ind w:firstLine="960"/>
      </w:pPr>
      <w:r>
        <w:rPr>
          <w:rFonts w:ascii="仿宋_GB2312" w:hAnsi="仿宋_GB2312" w:cs="仿宋_GB2312" w:eastAsia="仿宋_GB2312"/>
        </w:rPr>
        <w:t>详见附件：6项目团队人员配备.docx</w:t>
      </w:r>
    </w:p>
    <w:p>
      <w:pPr>
        <w:pStyle w:val="null3"/>
        <w:ind w:firstLine="960"/>
      </w:pPr>
      <w:r>
        <w:rPr>
          <w:rFonts w:ascii="仿宋_GB2312" w:hAnsi="仿宋_GB2312" w:cs="仿宋_GB2312" w:eastAsia="仿宋_GB2312"/>
        </w:rPr>
        <w:t>详见附件：7保密方案.docx</w:t>
      </w:r>
    </w:p>
    <w:p>
      <w:pPr>
        <w:pStyle w:val="null3"/>
        <w:ind w:firstLine="960"/>
      </w:pPr>
      <w:r>
        <w:rPr>
          <w:rFonts w:ascii="仿宋_GB2312" w:hAnsi="仿宋_GB2312" w:cs="仿宋_GB2312" w:eastAsia="仿宋_GB2312"/>
        </w:rPr>
        <w:t>详见附件：8服务承诺.docx</w:t>
      </w:r>
    </w:p>
    <w:p>
      <w:pPr>
        <w:pStyle w:val="null3"/>
        <w:ind w:firstLine="960"/>
      </w:pPr>
      <w:r>
        <w:rPr>
          <w:rFonts w:ascii="仿宋_GB2312" w:hAnsi="仿宋_GB2312" w:cs="仿宋_GB2312" w:eastAsia="仿宋_GB2312"/>
        </w:rPr>
        <w:t>详见附件：9类似业绩.docx</w:t>
      </w:r>
    </w:p>
    <w:p>
      <w:pPr>
        <w:pStyle w:val="null3"/>
        <w:ind w:firstLine="960"/>
      </w:pPr>
      <w:r>
        <w:rPr>
          <w:rFonts w:ascii="仿宋_GB2312" w:hAnsi="仿宋_GB2312" w:cs="仿宋_GB2312" w:eastAsia="仿宋_GB2312"/>
        </w:rPr>
        <w:t>详见附件：供应商认为有必要说明的其他资料.docx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