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15510">
      <w:pPr>
        <w:jc w:val="left"/>
        <w:rPr>
          <w:rFonts w:ascii="仿宋" w:hAnsi="仿宋" w:eastAsia="仿宋" w:cs="仿宋"/>
          <w:b/>
          <w:bCs/>
          <w:sz w:val="30"/>
          <w:szCs w:val="30"/>
          <w:highlight w:val="none"/>
        </w:rPr>
      </w:pPr>
      <w:bookmarkStart w:id="0" w:name="_Toc23166"/>
      <w:bookmarkStart w:id="1" w:name="_Toc27511"/>
      <w:r>
        <w:rPr>
          <w:rFonts w:hint="eastAsia" w:ascii="仿宋" w:hAnsi="仿宋" w:eastAsia="仿宋" w:cs="仿宋"/>
          <w:b/>
          <w:bCs/>
          <w:sz w:val="30"/>
          <w:szCs w:val="30"/>
          <w:highlight w:val="none"/>
        </w:rPr>
        <w:t>政府采购合同                        合同编号：</w:t>
      </w:r>
    </w:p>
    <w:p w14:paraId="52A5A8F3">
      <w:pPr>
        <w:pStyle w:val="7"/>
        <w:rPr>
          <w:rFonts w:ascii="仿宋" w:hAnsi="仿宋" w:eastAsia="仿宋" w:cs="仿宋"/>
          <w:b/>
          <w:bCs/>
          <w:color w:val="auto"/>
          <w:sz w:val="30"/>
          <w:szCs w:val="30"/>
          <w:highlight w:val="none"/>
        </w:rPr>
      </w:pPr>
    </w:p>
    <w:p w14:paraId="6138910C">
      <w:pPr>
        <w:pStyle w:val="7"/>
        <w:rPr>
          <w:rFonts w:ascii="仿宋" w:hAnsi="仿宋" w:eastAsia="仿宋" w:cs="仿宋"/>
          <w:b/>
          <w:bCs/>
          <w:color w:val="auto"/>
          <w:sz w:val="30"/>
          <w:szCs w:val="30"/>
          <w:highlight w:val="none"/>
        </w:rPr>
      </w:pPr>
    </w:p>
    <w:p w14:paraId="35A26356">
      <w:pPr>
        <w:pStyle w:val="7"/>
        <w:rPr>
          <w:rFonts w:ascii="仿宋" w:hAnsi="仿宋" w:eastAsia="仿宋" w:cs="仿宋"/>
          <w:color w:val="auto"/>
          <w:highlight w:val="none"/>
        </w:rPr>
      </w:pPr>
    </w:p>
    <w:p w14:paraId="340D434F">
      <w:pPr>
        <w:jc w:val="center"/>
        <w:rPr>
          <w:rFonts w:ascii="仿宋" w:hAnsi="仿宋" w:eastAsia="仿宋" w:cs="仿宋"/>
          <w:b/>
          <w:bCs/>
          <w:sz w:val="44"/>
          <w:szCs w:val="44"/>
          <w:highlight w:val="none"/>
        </w:rPr>
      </w:pPr>
      <w:r>
        <w:rPr>
          <w:rFonts w:hint="eastAsia" w:ascii="仿宋" w:hAnsi="仿宋" w:eastAsia="仿宋" w:cs="仿宋"/>
          <w:b/>
          <w:bCs/>
          <w:sz w:val="44"/>
          <w:szCs w:val="44"/>
          <w:highlight w:val="none"/>
          <w:u w:val="single"/>
        </w:rPr>
        <w:t xml:space="preserve">                           </w:t>
      </w:r>
      <w:r>
        <w:rPr>
          <w:rFonts w:hint="eastAsia" w:ascii="仿宋" w:hAnsi="仿宋" w:eastAsia="仿宋" w:cs="仿宋"/>
          <w:b/>
          <w:bCs/>
          <w:sz w:val="44"/>
          <w:szCs w:val="44"/>
          <w:highlight w:val="none"/>
        </w:rPr>
        <w:t>采购项目</w:t>
      </w:r>
    </w:p>
    <w:p w14:paraId="493327DF">
      <w:pPr>
        <w:rPr>
          <w:rFonts w:ascii="仿宋" w:hAnsi="仿宋" w:eastAsia="仿宋" w:cs="仿宋"/>
          <w:highlight w:val="none"/>
        </w:rPr>
      </w:pPr>
    </w:p>
    <w:p w14:paraId="29BA7CB7">
      <w:pPr>
        <w:rPr>
          <w:rFonts w:ascii="仿宋" w:hAnsi="仿宋" w:eastAsia="仿宋" w:cs="仿宋"/>
          <w:highlight w:val="none"/>
        </w:rPr>
      </w:pPr>
    </w:p>
    <w:p w14:paraId="53305FCF">
      <w:pPr>
        <w:pStyle w:val="7"/>
        <w:rPr>
          <w:rFonts w:ascii="仿宋" w:hAnsi="仿宋" w:eastAsia="仿宋" w:cs="仿宋"/>
          <w:color w:val="auto"/>
          <w:highlight w:val="none"/>
        </w:rPr>
      </w:pPr>
    </w:p>
    <w:p w14:paraId="15E4FC0D">
      <w:pPr>
        <w:pStyle w:val="7"/>
        <w:rPr>
          <w:rFonts w:ascii="仿宋" w:hAnsi="仿宋" w:eastAsia="仿宋" w:cs="仿宋"/>
          <w:color w:val="auto"/>
          <w:highlight w:val="none"/>
        </w:rPr>
      </w:pPr>
    </w:p>
    <w:p w14:paraId="08BDA097">
      <w:pPr>
        <w:rPr>
          <w:rFonts w:ascii="仿宋" w:hAnsi="仿宋" w:eastAsia="仿宋" w:cs="仿宋"/>
          <w:highlight w:val="none"/>
        </w:rPr>
      </w:pPr>
    </w:p>
    <w:p w14:paraId="3033D8B6">
      <w:pPr>
        <w:rPr>
          <w:rFonts w:ascii="仿宋" w:hAnsi="仿宋" w:eastAsia="仿宋" w:cs="仿宋"/>
          <w:highlight w:val="none"/>
        </w:rPr>
      </w:pPr>
    </w:p>
    <w:p w14:paraId="5635C016">
      <w:pPr>
        <w:jc w:val="center"/>
        <w:rPr>
          <w:rFonts w:ascii="仿宋" w:hAnsi="仿宋" w:eastAsia="仿宋" w:cs="仿宋"/>
          <w:b/>
          <w:sz w:val="36"/>
          <w:szCs w:val="36"/>
          <w:highlight w:val="none"/>
        </w:rPr>
      </w:pPr>
      <w:r>
        <w:rPr>
          <w:rFonts w:hint="eastAsia" w:ascii="仿宋" w:hAnsi="仿宋" w:eastAsia="仿宋" w:cs="仿宋"/>
          <w:b/>
          <w:sz w:val="36"/>
          <w:szCs w:val="36"/>
          <w:highlight w:val="none"/>
        </w:rPr>
        <w:t>（示范文本仅供参考）</w:t>
      </w:r>
    </w:p>
    <w:p w14:paraId="5CC449C6">
      <w:pPr>
        <w:jc w:val="both"/>
        <w:rPr>
          <w:rFonts w:ascii="仿宋" w:hAnsi="仿宋" w:eastAsia="仿宋" w:cs="仿宋"/>
          <w:b/>
          <w:sz w:val="36"/>
          <w:szCs w:val="36"/>
          <w:highlight w:val="none"/>
        </w:rPr>
      </w:pPr>
    </w:p>
    <w:p w14:paraId="0EACD6F3">
      <w:pPr>
        <w:jc w:val="center"/>
        <w:rPr>
          <w:rFonts w:ascii="仿宋" w:hAnsi="仿宋" w:eastAsia="仿宋" w:cs="仿宋"/>
          <w:b/>
          <w:sz w:val="36"/>
          <w:szCs w:val="36"/>
          <w:highlight w:val="none"/>
        </w:rPr>
      </w:pPr>
    </w:p>
    <w:p w14:paraId="48E1A55A">
      <w:pPr>
        <w:jc w:val="center"/>
        <w:rPr>
          <w:rFonts w:ascii="仿宋" w:hAnsi="仿宋" w:eastAsia="仿宋" w:cs="仿宋"/>
          <w:b/>
          <w:sz w:val="36"/>
          <w:szCs w:val="36"/>
          <w:highlight w:val="none"/>
        </w:rPr>
      </w:pPr>
    </w:p>
    <w:p w14:paraId="24B6A397">
      <w:pPr>
        <w:rPr>
          <w:rFonts w:ascii="仿宋" w:hAnsi="仿宋" w:eastAsia="仿宋" w:cs="仿宋"/>
          <w:b/>
          <w:sz w:val="36"/>
          <w:szCs w:val="36"/>
          <w:highlight w:val="none"/>
        </w:rPr>
      </w:pPr>
    </w:p>
    <w:p w14:paraId="6BDD46E3">
      <w:pPr>
        <w:spacing w:before="158" w:beforeLines="50" w:line="360" w:lineRule="auto"/>
        <w:rPr>
          <w:rFonts w:ascii="仿宋" w:hAnsi="仿宋" w:eastAsia="仿宋" w:cs="仿宋"/>
          <w:bCs/>
          <w:sz w:val="48"/>
          <w:szCs w:val="48"/>
          <w:highlight w:val="none"/>
        </w:rPr>
      </w:pPr>
    </w:p>
    <w:p w14:paraId="2298DD3F">
      <w:pPr>
        <w:spacing w:before="158" w:beforeLines="50" w:line="360" w:lineRule="auto"/>
        <w:ind w:firstLine="1584" w:firstLineChars="493"/>
        <w:jc w:val="left"/>
        <w:rPr>
          <w:rFonts w:ascii="仿宋" w:hAnsi="仿宋" w:eastAsia="仿宋" w:cs="仿宋"/>
          <w:sz w:val="32"/>
          <w:szCs w:val="32"/>
          <w:highlight w:val="none"/>
          <w:u w:val="single"/>
        </w:rPr>
      </w:pPr>
      <w:r>
        <w:rPr>
          <w:rFonts w:hint="eastAsia" w:ascii="仿宋" w:hAnsi="仿宋" w:eastAsia="仿宋" w:cs="仿宋"/>
          <w:b/>
          <w:bCs/>
          <w:sz w:val="32"/>
          <w:szCs w:val="32"/>
          <w:highlight w:val="none"/>
        </w:rPr>
        <w:t>采购人：</w:t>
      </w:r>
      <w:r>
        <w:rPr>
          <w:rFonts w:hint="eastAsia" w:ascii="仿宋" w:hAnsi="仿宋" w:eastAsia="仿宋" w:cs="仿宋"/>
          <w:sz w:val="32"/>
          <w:szCs w:val="32"/>
          <w:highlight w:val="none"/>
          <w:u w:val="single"/>
        </w:rPr>
        <w:t xml:space="preserve">                     </w:t>
      </w:r>
    </w:p>
    <w:p w14:paraId="59C0089A">
      <w:pPr>
        <w:spacing w:before="158" w:beforeLines="50" w:line="360" w:lineRule="auto"/>
        <w:ind w:firstLine="1584" w:firstLineChars="493"/>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供应商：</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 xml:space="preserve">  </w:t>
      </w:r>
      <w:r>
        <w:rPr>
          <w:rFonts w:hint="eastAsia" w:ascii="仿宋" w:hAnsi="仿宋" w:eastAsia="仿宋" w:cs="仿宋"/>
          <w:b/>
          <w:bCs/>
          <w:sz w:val="32"/>
          <w:szCs w:val="32"/>
          <w:highlight w:val="none"/>
        </w:rPr>
        <w:t xml:space="preserve">        </w:t>
      </w:r>
    </w:p>
    <w:p w14:paraId="52E61BF1">
      <w:pPr>
        <w:pStyle w:val="7"/>
        <w:jc w:val="center"/>
        <w:rPr>
          <w:color w:val="auto"/>
          <w:highlight w:val="none"/>
        </w:rPr>
      </w:pPr>
      <w:r>
        <w:rPr>
          <w:rFonts w:hint="eastAsia" w:ascii="仿宋" w:hAnsi="仿宋" w:eastAsia="仿宋" w:cs="仿宋"/>
          <w:b/>
          <w:bCs/>
          <w:color w:val="auto"/>
          <w:sz w:val="32"/>
          <w:szCs w:val="32"/>
          <w:highlight w:val="none"/>
        </w:rPr>
        <w:t>二〇二</w:t>
      </w:r>
      <w:r>
        <w:rPr>
          <w:rFonts w:hint="eastAsia" w:ascii="仿宋" w:hAnsi="仿宋" w:eastAsia="仿宋" w:cs="仿宋"/>
          <w:b/>
          <w:bCs/>
          <w:color w:val="auto"/>
          <w:sz w:val="32"/>
          <w:szCs w:val="32"/>
          <w:highlight w:val="none"/>
          <w:lang w:val="en-US" w:eastAsia="zh-CN"/>
        </w:rPr>
        <w:t>六</w:t>
      </w:r>
      <w:bookmarkStart w:id="12" w:name="_GoBack"/>
      <w:bookmarkEnd w:id="12"/>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6"/>
          <w:szCs w:val="36"/>
          <w:highlight w:val="none"/>
        </w:rPr>
        <w:br w:type="page"/>
      </w:r>
    </w:p>
    <w:bookmarkEnd w:id="0"/>
    <w:bookmarkEnd w:id="1"/>
    <w:p w14:paraId="6E36B94E">
      <w:pPr>
        <w:tabs>
          <w:tab w:val="left" w:pos="735"/>
        </w:tabs>
        <w:autoSpaceDE w:val="0"/>
        <w:autoSpaceDN w:val="0"/>
        <w:adjustRightInd w:val="0"/>
        <w:snapToGrid w:val="0"/>
        <w:spacing w:before="240" w:beforeLines="100" w:line="360" w:lineRule="auto"/>
        <w:ind w:firstLine="482" w:firstLineChars="200"/>
        <w:rPr>
          <w:rFonts w:ascii="仿宋" w:hAnsi="仿宋" w:eastAsia="仿宋" w:cs="仿宋"/>
          <w:b/>
          <w:bCs/>
          <w:sz w:val="24"/>
          <w:szCs w:val="24"/>
          <w:lang w:val="zh-CN"/>
        </w:rPr>
      </w:pPr>
      <w:r>
        <w:rPr>
          <w:rFonts w:hint="eastAsia" w:ascii="仿宋" w:hAnsi="仿宋" w:eastAsia="仿宋" w:cs="仿宋"/>
          <w:b/>
          <w:bCs/>
          <w:sz w:val="24"/>
          <w:szCs w:val="24"/>
          <w:lang w:val="zh-CN"/>
        </w:rPr>
        <w:t>甲方：</w:t>
      </w:r>
      <w:r>
        <w:rPr>
          <w:rFonts w:hint="eastAsia" w:ascii="仿宋" w:hAnsi="仿宋" w:eastAsia="仿宋" w:cs="仿宋"/>
          <w:bCs/>
          <w:sz w:val="24"/>
          <w:szCs w:val="24"/>
          <w:lang w:val="zh-CN"/>
        </w:rPr>
        <w:t xml:space="preserve">（前款所称采购人）     </w:t>
      </w:r>
      <w:r>
        <w:rPr>
          <w:rFonts w:hint="eastAsia" w:ascii="仿宋" w:hAnsi="仿宋" w:eastAsia="仿宋" w:cs="仿宋"/>
          <w:bCs/>
          <w:sz w:val="24"/>
          <w:szCs w:val="24"/>
        </w:rPr>
        <w:t xml:space="preserve">    </w:t>
      </w:r>
      <w:r>
        <w:rPr>
          <w:rFonts w:hint="eastAsia" w:ascii="仿宋" w:hAnsi="仿宋" w:eastAsia="仿宋" w:cs="仿宋"/>
          <w:bCs/>
          <w:sz w:val="24"/>
          <w:szCs w:val="24"/>
          <w:lang w:val="zh-CN"/>
        </w:rPr>
        <w:t>住所：</w:t>
      </w:r>
    </w:p>
    <w:p w14:paraId="03D8E8C1">
      <w:pPr>
        <w:tabs>
          <w:tab w:val="left" w:pos="735"/>
        </w:tabs>
        <w:autoSpaceDE w:val="0"/>
        <w:autoSpaceDN w:val="0"/>
        <w:adjustRightInd w:val="0"/>
        <w:snapToGrid w:val="0"/>
        <w:spacing w:line="360" w:lineRule="auto"/>
        <w:ind w:firstLine="482" w:firstLineChars="200"/>
        <w:rPr>
          <w:rFonts w:ascii="仿宋" w:hAnsi="仿宋" w:eastAsia="仿宋" w:cs="仿宋"/>
          <w:bCs/>
          <w:sz w:val="24"/>
          <w:szCs w:val="24"/>
          <w:lang w:val="zh-CN"/>
        </w:rPr>
      </w:pPr>
      <w:r>
        <w:rPr>
          <w:rFonts w:hint="eastAsia" w:ascii="仿宋" w:hAnsi="仿宋" w:eastAsia="仿宋" w:cs="仿宋"/>
          <w:b/>
          <w:bCs/>
          <w:sz w:val="24"/>
          <w:szCs w:val="24"/>
          <w:lang w:val="zh-CN"/>
        </w:rPr>
        <w:t>乙方：</w:t>
      </w:r>
      <w:r>
        <w:rPr>
          <w:rFonts w:hint="eastAsia" w:ascii="仿宋" w:hAnsi="仿宋" w:eastAsia="仿宋" w:cs="仿宋"/>
          <w:bCs/>
          <w:sz w:val="24"/>
          <w:szCs w:val="24"/>
          <w:lang w:val="zh-CN"/>
        </w:rPr>
        <w:t>（前款所称</w:t>
      </w:r>
      <w:r>
        <w:rPr>
          <w:rFonts w:hint="eastAsia" w:ascii="仿宋" w:hAnsi="仿宋" w:eastAsia="仿宋" w:cs="仿宋"/>
          <w:bCs/>
          <w:sz w:val="24"/>
          <w:szCs w:val="24"/>
        </w:rPr>
        <w:t>成交供应商</w:t>
      </w:r>
      <w:r>
        <w:rPr>
          <w:rFonts w:hint="eastAsia" w:ascii="仿宋" w:hAnsi="仿宋" w:eastAsia="仿宋" w:cs="仿宋"/>
          <w:bCs/>
          <w:sz w:val="24"/>
          <w:szCs w:val="24"/>
          <w:lang w:val="zh-CN"/>
        </w:rPr>
        <w:t>）     住所：</w:t>
      </w:r>
    </w:p>
    <w:p w14:paraId="782675F5">
      <w:pPr>
        <w:adjustRightInd w:val="0"/>
        <w:snapToGrid w:val="0"/>
        <w:spacing w:line="360" w:lineRule="auto"/>
        <w:ind w:firstLine="482" w:firstLineChars="200"/>
        <w:rPr>
          <w:rFonts w:ascii="仿宋" w:hAnsi="仿宋" w:eastAsia="仿宋" w:cs="仿宋"/>
          <w:sz w:val="24"/>
          <w:szCs w:val="24"/>
        </w:rPr>
      </w:pPr>
      <w:bookmarkStart w:id="2" w:name="_Toc19515384"/>
      <w:r>
        <w:rPr>
          <w:rFonts w:hint="eastAsia" w:ascii="仿宋" w:hAnsi="仿宋" w:eastAsia="仿宋" w:cs="仿宋"/>
          <w:b/>
          <w:bCs/>
          <w:sz w:val="24"/>
          <w:szCs w:val="24"/>
        </w:rPr>
        <w:t>一、合同内容</w:t>
      </w:r>
      <w:r>
        <w:rPr>
          <w:rFonts w:hint="eastAsia" w:ascii="仿宋" w:hAnsi="仿宋" w:eastAsia="仿宋" w:cs="仿宋"/>
          <w:sz w:val="24"/>
          <w:szCs w:val="24"/>
        </w:rPr>
        <w:t>（标的、数量、质量等）</w:t>
      </w:r>
      <w:bookmarkEnd w:id="2"/>
      <w:r>
        <w:rPr>
          <w:rFonts w:hint="eastAsia" w:ascii="仿宋" w:hAnsi="仿宋" w:eastAsia="仿宋" w:cs="仿宋"/>
          <w:sz w:val="24"/>
          <w:szCs w:val="24"/>
        </w:rPr>
        <w:t>：</w:t>
      </w:r>
    </w:p>
    <w:p w14:paraId="57D11A26">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本政府采购合同所附下列文件是构成本政府采购合同不可分割的部分：</w:t>
      </w:r>
    </w:p>
    <w:p w14:paraId="231406E3">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1.磋商文件（</w:t>
      </w:r>
      <w:r>
        <w:rPr>
          <w:rFonts w:hint="eastAsia" w:ascii="仿宋" w:hAnsi="仿宋" w:eastAsia="仿宋" w:cs="仿宋"/>
          <w:bCs/>
          <w:sz w:val="24"/>
          <w:szCs w:val="24"/>
          <w:lang w:val="en-US" w:eastAsia="zh-CN"/>
        </w:rPr>
        <w:t>磋商</w:t>
      </w:r>
      <w:r>
        <w:rPr>
          <w:rFonts w:hint="eastAsia" w:ascii="仿宋" w:hAnsi="仿宋" w:eastAsia="仿宋" w:cs="仿宋"/>
          <w:bCs/>
          <w:sz w:val="24"/>
          <w:szCs w:val="24"/>
        </w:rPr>
        <w:t>文件编号</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w:t>
      </w:r>
    </w:p>
    <w:p w14:paraId="652264D5">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2.磋商文件的更正公告、变更公告；</w:t>
      </w:r>
    </w:p>
    <w:p w14:paraId="4FF63988">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3.成交供应商提交的磋商响应文件；</w:t>
      </w:r>
    </w:p>
    <w:p w14:paraId="2D8398AB">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4.政府采购合同条款；</w:t>
      </w:r>
    </w:p>
    <w:p w14:paraId="3006E1F8">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5.成交通知书；</w:t>
      </w:r>
    </w:p>
    <w:p w14:paraId="4B33A63A">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6.政府采购合同的其它附件。</w:t>
      </w:r>
    </w:p>
    <w:p w14:paraId="40FBC72D">
      <w:pPr>
        <w:adjustRightInd w:val="0"/>
        <w:snapToGrid w:val="0"/>
        <w:spacing w:line="360" w:lineRule="auto"/>
        <w:ind w:firstLine="482" w:firstLineChars="200"/>
        <w:rPr>
          <w:rFonts w:ascii="仿宋" w:hAnsi="仿宋" w:eastAsia="仿宋" w:cs="仿宋"/>
          <w:b/>
          <w:bCs/>
          <w:sz w:val="24"/>
          <w:szCs w:val="24"/>
        </w:rPr>
      </w:pPr>
      <w:bookmarkStart w:id="3" w:name="_Toc19515385"/>
      <w:r>
        <w:rPr>
          <w:rFonts w:hint="eastAsia" w:ascii="仿宋" w:hAnsi="仿宋" w:eastAsia="仿宋" w:cs="仿宋"/>
          <w:b/>
          <w:bCs/>
          <w:sz w:val="24"/>
          <w:szCs w:val="24"/>
        </w:rPr>
        <w:t>二、合同价款</w:t>
      </w:r>
      <w:bookmarkEnd w:id="3"/>
    </w:p>
    <w:p w14:paraId="7F12C82E">
      <w:pPr>
        <w:adjustRightInd w:val="0"/>
        <w:snapToGrid w:val="0"/>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rPr>
        <w:t>1、合同总价：</w:t>
      </w:r>
      <w:r>
        <w:rPr>
          <w:rFonts w:hint="eastAsia" w:ascii="仿宋" w:hAnsi="仿宋" w:eastAsia="仿宋" w:cs="仿宋"/>
          <w:sz w:val="24"/>
          <w:szCs w:val="24"/>
          <w:lang w:val="en-US" w:eastAsia="zh-CN"/>
        </w:rPr>
        <w:t>人民币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元整）</w:t>
      </w:r>
    </w:p>
    <w:p w14:paraId="055EA21C">
      <w:pPr>
        <w:pStyle w:val="10"/>
        <w:tabs>
          <w:tab w:val="left" w:pos="2100"/>
        </w:tabs>
        <w:adjustRightInd w:val="0"/>
        <w:snapToGrid w:val="0"/>
        <w:spacing w:line="360" w:lineRule="auto"/>
        <w:ind w:firstLine="480" w:firstLineChars="200"/>
        <w:rPr>
          <w:rFonts w:hint="eastAsia" w:ascii="仿宋" w:hAnsi="仿宋" w:eastAsia="仿宋" w:cs="仿宋"/>
          <w:b/>
          <w:bCs/>
          <w:sz w:val="24"/>
          <w:szCs w:val="24"/>
          <w:highlight w:val="yellow"/>
          <w:lang w:val="en-US" w:eastAsia="zh-CN"/>
        </w:rPr>
      </w:pPr>
      <w:r>
        <w:rPr>
          <w:rFonts w:hint="eastAsia" w:ascii="仿宋" w:hAnsi="仿宋" w:eastAsia="仿宋" w:cs="仿宋"/>
          <w:sz w:val="24"/>
          <w:szCs w:val="24"/>
        </w:rPr>
        <w:t>2、合同总价包括：提供磋商文件要求服务的所有费用，包括但不限于提供项目实施费、培训费、人工费、材料费、管理费、</w:t>
      </w:r>
      <w:r>
        <w:rPr>
          <w:rFonts w:hint="eastAsia" w:ascii="仿宋" w:hAnsi="仿宋" w:eastAsia="仿宋" w:cs="仿宋"/>
          <w:sz w:val="24"/>
          <w:szCs w:val="24"/>
          <w:lang w:val="en-US" w:eastAsia="zh-CN"/>
        </w:rPr>
        <w:t>资料费、</w:t>
      </w:r>
      <w:r>
        <w:rPr>
          <w:rFonts w:hint="eastAsia" w:ascii="仿宋" w:hAnsi="仿宋" w:eastAsia="仿宋" w:cs="仿宋"/>
          <w:sz w:val="24"/>
          <w:szCs w:val="24"/>
        </w:rPr>
        <w:t>供应商应缴纳的所有税费、规费、保险费（如果有）等全部费用。</w:t>
      </w:r>
    </w:p>
    <w:p w14:paraId="52A845AF">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3、合同为固定总价合同，不受市场价变化的影响。</w:t>
      </w:r>
    </w:p>
    <w:p w14:paraId="52862239">
      <w:pPr>
        <w:adjustRightInd w:val="0"/>
        <w:snapToGrid w:val="0"/>
        <w:spacing w:line="360" w:lineRule="auto"/>
        <w:ind w:firstLine="482" w:firstLineChars="200"/>
        <w:rPr>
          <w:rFonts w:ascii="仿宋" w:hAnsi="仿宋" w:eastAsia="仿宋" w:cs="仿宋"/>
          <w:b/>
          <w:bCs/>
          <w:sz w:val="24"/>
          <w:szCs w:val="24"/>
        </w:rPr>
      </w:pPr>
      <w:bookmarkStart w:id="4" w:name="_Toc19515386"/>
      <w:r>
        <w:rPr>
          <w:rFonts w:hint="eastAsia" w:ascii="仿宋" w:hAnsi="仿宋" w:eastAsia="仿宋" w:cs="仿宋"/>
          <w:b/>
          <w:bCs/>
          <w:sz w:val="24"/>
          <w:szCs w:val="24"/>
        </w:rPr>
        <w:t>三、合同结算</w:t>
      </w:r>
      <w:bookmarkEnd w:id="4"/>
    </w:p>
    <w:p w14:paraId="37861876">
      <w:pPr>
        <w:spacing w:line="360" w:lineRule="auto"/>
        <w:ind w:firstLine="480" w:firstLineChars="200"/>
        <w:rPr>
          <w:rFonts w:ascii="仿宋" w:hAnsi="仿宋" w:eastAsia="仿宋" w:cs="仿宋"/>
          <w:sz w:val="24"/>
          <w:szCs w:val="24"/>
          <w:highlight w:val="none"/>
        </w:rPr>
      </w:pPr>
      <w:bookmarkStart w:id="5" w:name="_Toc19515387"/>
      <w:r>
        <w:rPr>
          <w:rFonts w:hint="eastAsia" w:ascii="仿宋" w:hAnsi="仿宋" w:eastAsia="仿宋" w:cs="仿宋"/>
          <w:sz w:val="24"/>
          <w:szCs w:val="24"/>
          <w:highlight w:val="none"/>
        </w:rPr>
        <w:t>1.合同总价即成交价，磋商供应商应在报价表中标明完成本次磋商所要求责任范围和合同条件进行报价。磋商报价是指完成本项目的所有费用。</w:t>
      </w:r>
    </w:p>
    <w:p w14:paraId="2DBC755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2.合同总价一次包死，不受市场价变化或实际工作量变化的影响。</w:t>
      </w:r>
    </w:p>
    <w:p w14:paraId="6CE5352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3.付款方式和程序：</w:t>
      </w:r>
    </w:p>
    <w:p w14:paraId="7703D95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24"/>
          <w:highlight w:val="none"/>
          <w:lang w:val="zh-TW" w:eastAsia="zh-TW"/>
          <w14:textFill>
            <w14:solidFill>
              <w14:schemeClr w14:val="tx1"/>
            </w14:solidFill>
          </w14:textFill>
        </w:rPr>
      </w:pPr>
      <w:r>
        <w:rPr>
          <w:rFonts w:hint="eastAsia" w:ascii="仿宋" w:hAnsi="仿宋" w:eastAsia="仿宋" w:cs="仿宋"/>
          <w:color w:val="000000" w:themeColor="text1"/>
          <w:sz w:val="24"/>
          <w:szCs w:val="24"/>
          <w:highlight w:val="none"/>
          <w:lang w:val="zh-TW"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val="zh-TW" w:eastAsia="zh-CN"/>
          <w14:textFill>
            <w14:solidFill>
              <w14:schemeClr w14:val="tx1"/>
            </w14:solidFill>
          </w14:textFill>
        </w:rPr>
        <w:t>）合同签订后，达到付款条件起5日内，支付合同总金额的80.00%</w:t>
      </w:r>
      <w:r>
        <w:rPr>
          <w:rFonts w:hint="eastAsia" w:ascii="仿宋" w:hAnsi="仿宋" w:eastAsia="仿宋" w:cs="仿宋"/>
          <w:color w:val="000000" w:themeColor="text1"/>
          <w:sz w:val="24"/>
          <w:szCs w:val="24"/>
          <w:highlight w:val="none"/>
          <w:lang w:val="zh-TW" w:eastAsia="zh-TW"/>
          <w14:textFill>
            <w14:solidFill>
              <w14:schemeClr w14:val="tx1"/>
            </w14:solidFill>
          </w14:textFill>
        </w:rPr>
        <w:t>；</w:t>
      </w:r>
    </w:p>
    <w:p w14:paraId="7F82B51E">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24"/>
          <w:highlight w:val="none"/>
          <w:lang w:val="zh-TW" w:eastAsia="zh-TW"/>
          <w14:textFill>
            <w14:solidFill>
              <w14:schemeClr w14:val="tx1"/>
            </w14:solidFill>
          </w14:textFill>
        </w:rPr>
      </w:pPr>
      <w:r>
        <w:rPr>
          <w:rFonts w:hint="eastAsia" w:ascii="仿宋" w:hAnsi="仿宋" w:eastAsia="仿宋" w:cs="仿宋"/>
          <w:color w:val="000000" w:themeColor="text1"/>
          <w:sz w:val="24"/>
          <w:szCs w:val="24"/>
          <w:highlight w:val="none"/>
          <w:lang w:val="zh-TW"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lang w:val="zh-TW" w:eastAsia="zh-CN"/>
          <w14:textFill>
            <w14:solidFill>
              <w14:schemeClr w14:val="tx1"/>
            </w14:solidFill>
          </w14:textFill>
        </w:rPr>
        <w:t>）待中标人完成全部工作后一个月内，采购人一次性支付剩余所有费用，达到付款条件起30日内，支付合同总金额的20.00%</w:t>
      </w:r>
      <w:r>
        <w:rPr>
          <w:rFonts w:hint="eastAsia" w:ascii="仿宋" w:hAnsi="仿宋" w:eastAsia="仿宋" w:cs="仿宋"/>
          <w:color w:val="000000" w:themeColor="text1"/>
          <w:sz w:val="24"/>
          <w:szCs w:val="24"/>
          <w:highlight w:val="none"/>
          <w:lang w:val="zh-TW" w:eastAsia="zh-TW"/>
          <w14:textFill>
            <w14:solidFill>
              <w14:schemeClr w14:val="tx1"/>
            </w14:solidFill>
          </w14:textFill>
        </w:rPr>
        <w:t>；</w:t>
      </w:r>
    </w:p>
    <w:p w14:paraId="16816011">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24"/>
          <w:lang w:val="zh-TW"/>
          <w14:textFill>
            <w14:solidFill>
              <w14:schemeClr w14:val="tx1"/>
            </w14:solidFill>
          </w14:textFill>
        </w:rPr>
      </w:pPr>
      <w:r>
        <w:rPr>
          <w:rFonts w:hint="eastAsia" w:ascii="仿宋" w:hAnsi="仿宋" w:eastAsia="仿宋" w:cs="仿宋"/>
          <w:color w:val="000000" w:themeColor="text1"/>
          <w:sz w:val="24"/>
          <w:szCs w:val="24"/>
          <w:lang w:val="zh-TW"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lang w:val="zh-TW" w:eastAsia="zh-CN"/>
          <w14:textFill>
            <w14:solidFill>
              <w14:schemeClr w14:val="tx1"/>
            </w14:solidFill>
          </w14:textFill>
        </w:rPr>
        <w:t>）在办理各期付款的支付手续前，供应商应出具等额的符合国家规定的发票</w:t>
      </w:r>
      <w:r>
        <w:rPr>
          <w:rFonts w:hint="eastAsia" w:ascii="仿宋" w:hAnsi="仿宋" w:eastAsia="仿宋" w:cs="仿宋"/>
          <w:color w:val="000000" w:themeColor="text1"/>
          <w:sz w:val="24"/>
          <w:szCs w:val="24"/>
          <w:lang w:val="zh-TW"/>
          <w14:textFill>
            <w14:solidFill>
              <w14:schemeClr w14:val="tx1"/>
            </w14:solidFill>
          </w14:textFill>
        </w:rPr>
        <w:t>。</w:t>
      </w:r>
    </w:p>
    <w:p w14:paraId="57D7EF86">
      <w:pPr>
        <w:keepNext w:val="0"/>
        <w:keepLines w:val="0"/>
        <w:pageBreakBefore w:val="0"/>
        <w:widowControl w:val="0"/>
        <w:kinsoku/>
        <w:wordWrap/>
        <w:overflowPunct/>
        <w:topLinePunct/>
        <w:autoSpaceDE/>
        <w:autoSpaceDN/>
        <w:bidi w:val="0"/>
        <w:adjustRightInd/>
        <w:snapToGrid/>
        <w:spacing w:line="360" w:lineRule="auto"/>
        <w:ind w:firstLine="482" w:firstLineChars="200"/>
        <w:textAlignment w:val="auto"/>
        <w:rPr>
          <w:rFonts w:ascii="仿宋" w:hAnsi="仿宋" w:eastAsia="仿宋" w:cs="仿宋"/>
          <w:b/>
          <w:bCs/>
          <w:sz w:val="24"/>
          <w:szCs w:val="24"/>
          <w:highlight w:val="none"/>
        </w:rPr>
      </w:pPr>
      <w:r>
        <w:rPr>
          <w:rFonts w:hint="eastAsia" w:ascii="仿宋" w:hAnsi="仿宋" w:eastAsia="仿宋" w:cs="仿宋"/>
          <w:b/>
          <w:bCs/>
          <w:sz w:val="24"/>
          <w:szCs w:val="24"/>
          <w:highlight w:val="none"/>
        </w:rPr>
        <w:t>四、服务期、地点</w:t>
      </w:r>
      <w:bookmarkEnd w:id="5"/>
      <w:r>
        <w:rPr>
          <w:rFonts w:hint="eastAsia" w:ascii="仿宋" w:hAnsi="仿宋" w:eastAsia="仿宋" w:cs="仿宋"/>
          <w:b/>
          <w:bCs/>
          <w:sz w:val="24"/>
          <w:szCs w:val="24"/>
          <w:highlight w:val="none"/>
        </w:rPr>
        <w:t>：</w:t>
      </w:r>
    </w:p>
    <w:p w14:paraId="4F05E303">
      <w:pPr>
        <w:adjustRightInd w:val="0"/>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1、服务期：合同签订之日起六个月</w:t>
      </w:r>
    </w:p>
    <w:p w14:paraId="115CD18A">
      <w:pPr>
        <w:adjustRightInd w:val="0"/>
        <w:snapToGrid w:val="0"/>
        <w:spacing w:line="360" w:lineRule="auto"/>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地点：</w:t>
      </w:r>
      <w:r>
        <w:rPr>
          <w:rFonts w:hint="eastAsia" w:ascii="仿宋" w:hAnsi="仿宋" w:eastAsia="仿宋" w:cs="仿宋"/>
          <w:kern w:val="2"/>
          <w:sz w:val="24"/>
          <w:szCs w:val="24"/>
          <w:highlight w:val="none"/>
          <w:lang w:val="en-US" w:eastAsia="zh-CN" w:bidi="ar-SA"/>
        </w:rPr>
        <w:t>采购人指定地点</w:t>
      </w:r>
    </w:p>
    <w:p w14:paraId="229238D4">
      <w:pPr>
        <w:adjustRightInd w:val="0"/>
        <w:snapToGrid w:val="0"/>
        <w:spacing w:line="360" w:lineRule="auto"/>
        <w:ind w:firstLine="482" w:firstLineChars="200"/>
        <w:rPr>
          <w:rFonts w:hint="eastAsia" w:ascii="仿宋" w:hAnsi="仿宋" w:eastAsia="仿宋" w:cs="仿宋"/>
          <w:b/>
          <w:bCs/>
          <w:sz w:val="24"/>
          <w:szCs w:val="24"/>
          <w:lang w:val="en-US" w:eastAsia="zh-CN"/>
        </w:rPr>
      </w:pPr>
      <w:bookmarkStart w:id="6" w:name="_Toc19515390"/>
      <w:r>
        <w:rPr>
          <w:rFonts w:hint="eastAsia" w:ascii="仿宋" w:hAnsi="仿宋" w:eastAsia="仿宋" w:cs="仿宋"/>
          <w:b/>
          <w:bCs/>
          <w:sz w:val="24"/>
          <w:szCs w:val="24"/>
        </w:rPr>
        <w:t>五、服务</w:t>
      </w:r>
      <w:bookmarkEnd w:id="6"/>
      <w:r>
        <w:rPr>
          <w:rFonts w:hint="eastAsia" w:ascii="仿宋" w:hAnsi="仿宋" w:eastAsia="仿宋" w:cs="仿宋"/>
          <w:b/>
          <w:bCs/>
          <w:sz w:val="24"/>
          <w:szCs w:val="24"/>
          <w:lang w:val="en-US" w:eastAsia="zh-CN"/>
        </w:rPr>
        <w:t>内容</w:t>
      </w:r>
    </w:p>
    <w:p w14:paraId="49E98615">
      <w:pPr>
        <w:adjustRightInd w:val="0"/>
        <w:snapToGrid w:val="0"/>
        <w:spacing w:line="360" w:lineRule="auto"/>
        <w:ind w:firstLine="480" w:firstLineChars="200"/>
        <w:rPr>
          <w:rFonts w:hint="eastAsia" w:ascii="仿宋" w:hAnsi="仿宋" w:eastAsia="仿宋" w:cs="仿宋"/>
          <w:sz w:val="24"/>
          <w:szCs w:val="24"/>
          <w:highlight w:val="none"/>
          <w:lang w:val="en-US" w:eastAsia="zh-CN"/>
        </w:rPr>
      </w:pPr>
      <w:bookmarkStart w:id="7" w:name="_Toc19515391"/>
      <w:r>
        <w:rPr>
          <w:rFonts w:hint="eastAsia" w:ascii="仿宋" w:hAnsi="仿宋" w:eastAsia="仿宋" w:cs="仿宋"/>
          <w:sz w:val="24"/>
          <w:szCs w:val="24"/>
          <w:highlight w:val="none"/>
          <w:lang w:val="en-US" w:eastAsia="zh-CN"/>
        </w:rPr>
        <w:t>详见磋商文件第四章磋商要求及说明。</w:t>
      </w:r>
    </w:p>
    <w:p w14:paraId="35F662AE">
      <w:pPr>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六、双方权利与义务</w:t>
      </w:r>
    </w:p>
    <w:p w14:paraId="0381BBEB">
      <w:pPr>
        <w:numPr>
          <w:ilvl w:val="0"/>
          <w:numId w:val="1"/>
        </w:numPr>
        <w:adjustRightInd w:val="0"/>
        <w:snapToGrid w:val="0"/>
        <w:spacing w:line="360" w:lineRule="auto"/>
        <w:ind w:firstLine="480" w:firstLineChars="200"/>
        <w:rPr>
          <w:sz w:val="24"/>
          <w:szCs w:val="24"/>
          <w:highlight w:val="none"/>
        </w:rPr>
      </w:pPr>
      <w:r>
        <w:rPr>
          <w:rFonts w:hint="eastAsia" w:ascii="仿宋" w:hAnsi="仿宋" w:eastAsia="仿宋" w:cs="仿宋"/>
          <w:sz w:val="24"/>
          <w:szCs w:val="24"/>
          <w:highlight w:val="none"/>
          <w:lang w:val="en-US" w:eastAsia="zh-CN"/>
        </w:rPr>
        <w:t>甲方权利与义务</w:t>
      </w:r>
      <w:r>
        <w:rPr>
          <w:rFonts w:hint="eastAsia" w:ascii="仿宋" w:hAnsi="仿宋" w:eastAsia="仿宋" w:cs="仿宋"/>
          <w:sz w:val="24"/>
          <w:szCs w:val="24"/>
          <w:highlight w:val="none"/>
        </w:rPr>
        <w:t>。</w:t>
      </w:r>
    </w:p>
    <w:p w14:paraId="0E46C8BD">
      <w:pPr>
        <w:pStyle w:val="7"/>
        <w:numPr>
          <w:ilvl w:val="0"/>
          <w:numId w:val="2"/>
        </w:numPr>
        <w:ind w:left="417" w:leftChars="104" w:hanging="199" w:hangingChars="83"/>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甲方提供乙方开始实施项目中所需的必要资料等；</w:t>
      </w:r>
    </w:p>
    <w:p w14:paraId="11250D7B">
      <w:pPr>
        <w:pStyle w:val="14"/>
        <w:numPr>
          <w:ilvl w:val="0"/>
          <w:numId w:val="2"/>
        </w:numPr>
        <w:ind w:left="417" w:leftChars="104" w:hanging="199" w:hangingChars="83"/>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甲方按照合同要求核销、结算支付合同价款；</w:t>
      </w:r>
    </w:p>
    <w:p w14:paraId="3D30F0A3">
      <w:pPr>
        <w:pStyle w:val="14"/>
        <w:numPr>
          <w:ilvl w:val="0"/>
          <w:numId w:val="2"/>
        </w:numPr>
        <w:ind w:left="417" w:leftChars="104" w:hanging="199" w:hangingChars="83"/>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其他：</w:t>
      </w:r>
      <w:r>
        <w:rPr>
          <w:rFonts w:hint="eastAsia" w:ascii="仿宋" w:hAnsi="仿宋" w:eastAsia="仿宋" w:cs="仿宋"/>
          <w:color w:val="auto"/>
          <w:kern w:val="2"/>
          <w:sz w:val="24"/>
          <w:szCs w:val="24"/>
          <w:highlight w:val="none"/>
          <w:u w:val="single"/>
          <w:lang w:val="en-US" w:eastAsia="zh-CN" w:bidi="ar-SA"/>
        </w:rPr>
        <w:t xml:space="preserve">  双方约定  </w:t>
      </w:r>
      <w:r>
        <w:rPr>
          <w:rFonts w:hint="eastAsia" w:ascii="仿宋" w:hAnsi="仿宋" w:eastAsia="仿宋" w:cs="仿宋"/>
          <w:color w:val="auto"/>
          <w:kern w:val="2"/>
          <w:sz w:val="24"/>
          <w:szCs w:val="24"/>
          <w:highlight w:val="none"/>
          <w:lang w:val="en-US" w:eastAsia="zh-CN" w:bidi="ar-SA"/>
        </w:rPr>
        <w:t>。</w:t>
      </w:r>
    </w:p>
    <w:p w14:paraId="7F5E92DC">
      <w:pPr>
        <w:numPr>
          <w:ilvl w:val="0"/>
          <w:numId w:val="1"/>
        </w:numPr>
        <w:adjustRightInd w:val="0"/>
        <w:snapToGrid w:val="0"/>
        <w:spacing w:line="360" w:lineRule="auto"/>
        <w:ind w:firstLine="480" w:firstLineChars="200"/>
        <w:rPr>
          <w:color w:val="auto"/>
          <w:sz w:val="24"/>
          <w:szCs w:val="24"/>
          <w:highlight w:val="none"/>
        </w:rPr>
      </w:pPr>
      <w:r>
        <w:rPr>
          <w:rFonts w:hint="eastAsia" w:ascii="仿宋" w:hAnsi="仿宋" w:eastAsia="仿宋" w:cs="仿宋"/>
          <w:color w:val="auto"/>
          <w:sz w:val="24"/>
          <w:szCs w:val="24"/>
          <w:highlight w:val="none"/>
          <w:lang w:val="en-US" w:eastAsia="zh-CN"/>
        </w:rPr>
        <w:t>乙方权利与义务</w:t>
      </w:r>
      <w:r>
        <w:rPr>
          <w:rFonts w:hint="eastAsia" w:ascii="仿宋" w:hAnsi="仿宋" w:eastAsia="仿宋" w:cs="仿宋"/>
          <w:color w:val="auto"/>
          <w:sz w:val="24"/>
          <w:szCs w:val="24"/>
          <w:highlight w:val="none"/>
        </w:rPr>
        <w:t>。</w:t>
      </w:r>
    </w:p>
    <w:p w14:paraId="61724154">
      <w:pPr>
        <w:pStyle w:val="7"/>
        <w:numPr>
          <w:ilvl w:val="0"/>
          <w:numId w:val="3"/>
        </w:numPr>
        <w:ind w:left="417" w:leftChars="104" w:hanging="199" w:hangingChars="83"/>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乙方应按照服务要求完成本次合同约定的全部服务要求；</w:t>
      </w:r>
    </w:p>
    <w:p w14:paraId="5C76C95F">
      <w:pPr>
        <w:pStyle w:val="14"/>
        <w:numPr>
          <w:ilvl w:val="0"/>
          <w:numId w:val="3"/>
        </w:numPr>
        <w:ind w:left="417" w:leftChars="104" w:hanging="199" w:hangingChars="83"/>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乙方按照合同要求提供核销、结算发票及甲方要求的相关资料等；</w:t>
      </w:r>
    </w:p>
    <w:p w14:paraId="2085A073">
      <w:pPr>
        <w:pStyle w:val="14"/>
        <w:numPr>
          <w:ilvl w:val="0"/>
          <w:numId w:val="3"/>
        </w:numPr>
        <w:ind w:left="417" w:leftChars="104" w:hanging="199" w:hangingChars="83"/>
        <w:rPr>
          <w:rFonts w:hint="default"/>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其他：</w:t>
      </w:r>
      <w:r>
        <w:rPr>
          <w:rFonts w:hint="eastAsia" w:ascii="仿宋" w:hAnsi="仿宋" w:eastAsia="仿宋" w:cs="仿宋"/>
          <w:color w:val="auto"/>
          <w:kern w:val="2"/>
          <w:sz w:val="24"/>
          <w:szCs w:val="24"/>
          <w:highlight w:val="none"/>
          <w:u w:val="single"/>
          <w:lang w:val="en-US" w:eastAsia="zh-CN" w:bidi="ar-SA"/>
        </w:rPr>
        <w:t xml:space="preserve">  双方约定  </w:t>
      </w:r>
      <w:r>
        <w:rPr>
          <w:rFonts w:hint="eastAsia" w:ascii="仿宋" w:hAnsi="仿宋" w:eastAsia="仿宋" w:cs="仿宋"/>
          <w:color w:val="auto"/>
          <w:kern w:val="2"/>
          <w:sz w:val="24"/>
          <w:szCs w:val="24"/>
          <w:highlight w:val="none"/>
          <w:lang w:val="en-US" w:eastAsia="zh-CN" w:bidi="ar-SA"/>
        </w:rPr>
        <w:t>。</w:t>
      </w:r>
    </w:p>
    <w:p w14:paraId="4BCE172D">
      <w:pPr>
        <w:adjustRightInd w:val="0"/>
        <w:snapToGrid w:val="0"/>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w:t>
      </w:r>
      <w:bookmarkEnd w:id="7"/>
      <w:bookmarkStart w:id="8" w:name="_Toc19515392"/>
      <w:r>
        <w:rPr>
          <w:rFonts w:hint="eastAsia" w:ascii="仿宋" w:hAnsi="仿宋" w:eastAsia="仿宋" w:cs="仿宋"/>
          <w:b/>
          <w:bCs/>
          <w:sz w:val="24"/>
          <w:szCs w:val="24"/>
        </w:rPr>
        <w:t>违约责任</w:t>
      </w:r>
      <w:bookmarkEnd w:id="8"/>
    </w:p>
    <w:p w14:paraId="0C16997E">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1、按《中华人民共和国民法典》中的相关条款执行。</w:t>
      </w:r>
    </w:p>
    <w:p w14:paraId="52F4B267">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2、乙方履约延误</w:t>
      </w:r>
    </w:p>
    <w:p w14:paraId="4B302180">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2-1、如乙方事先未征得甲方同意并得到甲方的谅解而单方面延迟执行合同，应按合同总价款</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ascii="仿宋" w:hAnsi="仿宋" w:eastAsia="仿宋" w:cs="仿宋"/>
          <w:sz w:val="24"/>
          <w:szCs w:val="24"/>
          <w:u w:val="single"/>
        </w:rPr>
        <w:t xml:space="preserve"> </w:t>
      </w:r>
      <w:r>
        <w:rPr>
          <w:rFonts w:ascii="仿宋" w:hAnsi="仿宋" w:eastAsia="仿宋" w:cs="仿宋"/>
          <w:sz w:val="24"/>
          <w:szCs w:val="24"/>
        </w:rPr>
        <w:t>%</w:t>
      </w:r>
      <w:r>
        <w:rPr>
          <w:rFonts w:hint="eastAsia" w:ascii="仿宋" w:hAnsi="仿宋" w:eastAsia="仿宋" w:cs="仿宋"/>
          <w:sz w:val="24"/>
          <w:szCs w:val="24"/>
        </w:rPr>
        <w:t>向甲方支付违约金，同事甲方有权单方终止合同。</w:t>
      </w:r>
    </w:p>
    <w:p w14:paraId="67548ECA">
      <w:pPr>
        <w:adjustRightInd w:val="0"/>
        <w:snapToGri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w:t>
      </w:r>
      <w:r>
        <w:rPr>
          <w:rFonts w:hint="eastAsia" w:ascii="仿宋" w:hAnsi="仿宋" w:eastAsia="仿宋" w:cs="仿宋"/>
          <w:sz w:val="24"/>
          <w:szCs w:val="24"/>
          <w:lang w:val="en-US" w:eastAsia="zh-CN"/>
        </w:rPr>
        <w:t>或修改服务</w:t>
      </w:r>
      <w:r>
        <w:rPr>
          <w:rFonts w:hint="eastAsia" w:ascii="仿宋" w:hAnsi="仿宋" w:eastAsia="仿宋" w:cs="仿宋"/>
          <w:sz w:val="24"/>
          <w:szCs w:val="24"/>
        </w:rPr>
        <w:t>时间或对乙方加收误期赔偿金。</w:t>
      </w:r>
    </w:p>
    <w:p w14:paraId="427A47F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rPr>
        <w:t>3、违约终止合同：未按合同要求提供服务或不能满足</w:t>
      </w:r>
      <w:r>
        <w:rPr>
          <w:rFonts w:hint="eastAsia" w:ascii="仿宋" w:hAnsi="仿宋" w:eastAsia="仿宋" w:cs="仿宋"/>
          <w:sz w:val="24"/>
          <w:szCs w:val="24"/>
          <w:highlight w:val="none"/>
          <w:lang w:val="en-US" w:eastAsia="zh-CN"/>
        </w:rPr>
        <w:t>服务标准的</w:t>
      </w:r>
      <w:r>
        <w:rPr>
          <w:rFonts w:hint="eastAsia" w:ascii="仿宋" w:hAnsi="仿宋" w:eastAsia="仿宋" w:cs="仿宋"/>
          <w:sz w:val="24"/>
          <w:szCs w:val="24"/>
          <w:highlight w:val="none"/>
        </w:rPr>
        <w:t>，甲方</w:t>
      </w:r>
      <w:r>
        <w:rPr>
          <w:rFonts w:hint="eastAsia" w:ascii="仿宋" w:hAnsi="仿宋" w:eastAsia="仿宋" w:cs="仿宋"/>
          <w:sz w:val="24"/>
          <w:szCs w:val="24"/>
        </w:rPr>
        <w:t>会同监督机构有权终止合同，对乙方违约行为进行追究，同时按政府采购法的有关规定进行相应的处罚。</w:t>
      </w:r>
    </w:p>
    <w:p w14:paraId="19E0756C">
      <w:pPr>
        <w:pStyle w:val="21"/>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13610ECF">
      <w:pPr>
        <w:pStyle w:val="21"/>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5.如乙方未按合同要求提供服务或服务质量不能满足服务要求的，甲方有权终止合同，并对乙方违约行为进行追究，同时按《中华人民共和国政府采购法》有关规定进行处罚。</w:t>
      </w:r>
    </w:p>
    <w:p w14:paraId="0FBE957D">
      <w:pPr>
        <w:pStyle w:val="21"/>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6.成交供应商不得对业务进行分包或转包。否则采购人有权终止合同，成交单位承担由此造成的一切经济损失。</w:t>
      </w:r>
    </w:p>
    <w:p w14:paraId="39A51443">
      <w:pPr>
        <w:pStyle w:val="21"/>
        <w:spacing w:line="480" w:lineRule="exact"/>
        <w:ind w:firstLine="480"/>
        <w:rPr>
          <w:sz w:val="24"/>
          <w:szCs w:val="24"/>
        </w:rPr>
      </w:pPr>
      <w:r>
        <w:rPr>
          <w:rFonts w:hint="eastAsia" w:ascii="仿宋" w:hAnsi="仿宋" w:eastAsia="仿宋" w:cs="仿宋"/>
          <w:kern w:val="2"/>
          <w:sz w:val="24"/>
          <w:szCs w:val="24"/>
          <w:lang w:val="en-US" w:eastAsia="zh-CN" w:bidi="ar-SA"/>
        </w:rPr>
        <w:t>7.成交单位不得在服务期间对项目管理人员进行更换，如遇特殊情况须经采购人同意。采购人发现项目管理人员工作不力时，有权提出更换人员，更换人员必须及时到场。</w:t>
      </w:r>
    </w:p>
    <w:p w14:paraId="24E4D1FF">
      <w:pPr>
        <w:adjustRightInd w:val="0"/>
        <w:snapToGrid w:val="0"/>
        <w:spacing w:line="360" w:lineRule="auto"/>
        <w:ind w:firstLine="482" w:firstLineChars="200"/>
        <w:rPr>
          <w:rFonts w:ascii="仿宋" w:hAnsi="仿宋" w:eastAsia="仿宋" w:cs="仿宋"/>
          <w:b/>
          <w:bCs/>
          <w:sz w:val="24"/>
          <w:szCs w:val="24"/>
        </w:rPr>
      </w:pPr>
      <w:bookmarkStart w:id="9" w:name="_Toc19515393"/>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、合同组成</w:t>
      </w:r>
      <w:bookmarkEnd w:id="9"/>
    </w:p>
    <w:p w14:paraId="220AC9B2">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1、成交通知书</w:t>
      </w:r>
    </w:p>
    <w:p w14:paraId="03E7E674">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2、合同文件</w:t>
      </w:r>
    </w:p>
    <w:p w14:paraId="13F0650A">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3、国家相关规范及标准</w:t>
      </w:r>
    </w:p>
    <w:p w14:paraId="461BD0E3">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4、竞争性磋商文件</w:t>
      </w:r>
    </w:p>
    <w:p w14:paraId="24844212">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5、成交供应商的响应文件</w:t>
      </w:r>
    </w:p>
    <w:p w14:paraId="144AF7F3">
      <w:pPr>
        <w:adjustRightInd w:val="0"/>
        <w:snapToGrid w:val="0"/>
        <w:spacing w:line="360" w:lineRule="auto"/>
        <w:ind w:firstLine="482" w:firstLineChars="200"/>
        <w:rPr>
          <w:rFonts w:ascii="仿宋" w:hAnsi="仿宋" w:eastAsia="仿宋" w:cs="仿宋"/>
          <w:b/>
          <w:bCs/>
          <w:sz w:val="24"/>
          <w:szCs w:val="24"/>
        </w:rPr>
      </w:pPr>
      <w:bookmarkStart w:id="10" w:name="_Toc19515394"/>
      <w:r>
        <w:rPr>
          <w:rFonts w:hint="eastAsia" w:ascii="仿宋" w:hAnsi="仿宋" w:eastAsia="仿宋" w:cs="仿宋"/>
          <w:b/>
          <w:bCs/>
          <w:sz w:val="24"/>
          <w:szCs w:val="24"/>
          <w:lang w:val="en-US" w:eastAsia="zh-CN"/>
        </w:rPr>
        <w:t>九</w:t>
      </w:r>
      <w:r>
        <w:rPr>
          <w:rFonts w:hint="eastAsia" w:ascii="仿宋" w:hAnsi="仿宋" w:eastAsia="仿宋" w:cs="仿宋"/>
          <w:b/>
          <w:bCs/>
          <w:sz w:val="24"/>
          <w:szCs w:val="24"/>
        </w:rPr>
        <w:t>、解决争议的方法</w:t>
      </w:r>
      <w:bookmarkEnd w:id="10"/>
    </w:p>
    <w:p w14:paraId="4D68B73E">
      <w:pPr>
        <w:widowControl/>
        <w:autoSpaceDE w:val="0"/>
        <w:autoSpaceDN w:val="0"/>
        <w:snapToGrid w:val="0"/>
        <w:spacing w:line="360" w:lineRule="auto"/>
        <w:ind w:right="-110" w:firstLine="480" w:firstLineChars="200"/>
        <w:textAlignment w:val="bottom"/>
        <w:rPr>
          <w:rFonts w:ascii="仿宋" w:hAnsi="仿宋" w:eastAsia="仿宋" w:cs="仿宋"/>
          <w:kern w:val="0"/>
          <w:sz w:val="24"/>
          <w:szCs w:val="24"/>
        </w:rPr>
      </w:pPr>
      <w:r>
        <w:rPr>
          <w:rFonts w:hint="eastAsia" w:ascii="仿宋" w:hAnsi="仿宋" w:eastAsia="仿宋" w:cs="仿宋"/>
          <w:kern w:val="0"/>
          <w:sz w:val="24"/>
          <w:szCs w:val="24"/>
        </w:rPr>
        <w:t xml:space="preserve">凡因本合同引起的或与本合同有关的争议，双方应友好协商解决。协商不成时，双方均同意采用以下第（ </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 xml:space="preserve"> ）种争议解决方式：</w:t>
      </w:r>
    </w:p>
    <w:p w14:paraId="56D8CAA0">
      <w:pPr>
        <w:widowControl/>
        <w:autoSpaceDE w:val="0"/>
        <w:autoSpaceDN w:val="0"/>
        <w:snapToGrid w:val="0"/>
        <w:spacing w:line="360" w:lineRule="auto"/>
        <w:ind w:right="-110" w:firstLine="480" w:firstLineChars="200"/>
        <w:textAlignment w:val="bottom"/>
        <w:rPr>
          <w:rFonts w:ascii="仿宋" w:hAnsi="仿宋" w:eastAsia="仿宋" w:cs="仿宋"/>
          <w:kern w:val="0"/>
          <w:sz w:val="24"/>
          <w:szCs w:val="24"/>
        </w:rPr>
      </w:pPr>
      <w:r>
        <w:rPr>
          <w:rFonts w:hint="eastAsia" w:ascii="仿宋" w:hAnsi="仿宋" w:eastAsia="仿宋" w:cs="仿宋"/>
          <w:kern w:val="0"/>
          <w:sz w:val="24"/>
          <w:szCs w:val="24"/>
        </w:rPr>
        <w:t>1、甲、乙双方均同意向</w:t>
      </w:r>
      <w:r>
        <w:rPr>
          <w:rFonts w:hint="eastAsia" w:ascii="仿宋" w:hAnsi="仿宋" w:eastAsia="仿宋" w:cs="仿宋"/>
          <w:kern w:val="0"/>
          <w:sz w:val="24"/>
          <w:szCs w:val="24"/>
          <w:u w:val="single"/>
        </w:rPr>
        <w:t>（甲方所在地人民法院）</w:t>
      </w:r>
      <w:r>
        <w:rPr>
          <w:rFonts w:hint="eastAsia" w:ascii="仿宋" w:hAnsi="仿宋" w:eastAsia="仿宋" w:cs="仿宋"/>
          <w:kern w:val="0"/>
          <w:sz w:val="24"/>
          <w:szCs w:val="24"/>
        </w:rPr>
        <w:t>提起诉讼。</w:t>
      </w:r>
    </w:p>
    <w:p w14:paraId="10EB45C6">
      <w:pPr>
        <w:widowControl/>
        <w:autoSpaceDE w:val="0"/>
        <w:autoSpaceDN w:val="0"/>
        <w:snapToGrid w:val="0"/>
        <w:spacing w:line="360" w:lineRule="auto"/>
        <w:ind w:right="-110" w:firstLine="480" w:firstLineChars="200"/>
        <w:textAlignment w:val="bottom"/>
        <w:rPr>
          <w:rFonts w:ascii="仿宋" w:hAnsi="仿宋" w:eastAsia="仿宋" w:cs="仿宋"/>
          <w:kern w:val="0"/>
          <w:sz w:val="24"/>
          <w:szCs w:val="24"/>
        </w:rPr>
      </w:pPr>
      <w:r>
        <w:rPr>
          <w:rFonts w:hint="eastAsia" w:ascii="仿宋" w:hAnsi="仿宋" w:eastAsia="仿宋" w:cs="仿宋"/>
          <w:kern w:val="0"/>
          <w:sz w:val="24"/>
          <w:szCs w:val="24"/>
        </w:rPr>
        <w:t>2、甲、乙双方均同意向（</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"http://www.baidu.com/s?wd=%E4%BB%B2%E8%A3%81%E5%A7%94%E5%91%98%E4%BC%9A&amp;tn=SE_PcZhidaonwhc_ngpagmjz&amp;rsv_dl=gh_pc_zhidao" \t "_blank" </w:instrText>
      </w:r>
      <w:r>
        <w:rPr>
          <w:rFonts w:hint="eastAsia" w:ascii="仿宋" w:hAnsi="仿宋" w:eastAsia="仿宋" w:cs="仿宋"/>
          <w:sz w:val="24"/>
          <w:szCs w:val="24"/>
        </w:rPr>
        <w:fldChar w:fldCharType="separate"/>
      </w:r>
      <w:r>
        <w:rPr>
          <w:rFonts w:hint="eastAsia" w:ascii="仿宋" w:hAnsi="仿宋" w:eastAsia="仿宋" w:cs="仿宋"/>
          <w:kern w:val="0"/>
          <w:sz w:val="24"/>
          <w:szCs w:val="24"/>
        </w:rPr>
        <w:t>仲裁委员会</w:t>
      </w:r>
      <w:r>
        <w:rPr>
          <w:rFonts w:hint="eastAsia" w:ascii="仿宋" w:hAnsi="仿宋" w:eastAsia="仿宋" w:cs="仿宋"/>
          <w:kern w:val="0"/>
          <w:sz w:val="24"/>
          <w:szCs w:val="24"/>
        </w:rPr>
        <w:fldChar w:fldCharType="end"/>
      </w:r>
      <w:r>
        <w:rPr>
          <w:rFonts w:hint="eastAsia" w:ascii="仿宋" w:hAnsi="仿宋" w:eastAsia="仿宋" w:cs="仿宋"/>
          <w:kern w:val="0"/>
          <w:sz w:val="24"/>
          <w:szCs w:val="24"/>
        </w:rPr>
        <w:t>）提起仲裁。</w:t>
      </w:r>
    </w:p>
    <w:p w14:paraId="1CE4692F">
      <w:pPr>
        <w:adjustRightInd w:val="0"/>
        <w:snapToGrid w:val="0"/>
        <w:spacing w:line="360" w:lineRule="auto"/>
        <w:ind w:firstLine="482" w:firstLineChars="200"/>
        <w:rPr>
          <w:rFonts w:ascii="仿宋" w:hAnsi="仿宋" w:eastAsia="仿宋" w:cs="仿宋"/>
          <w:b/>
          <w:bCs/>
          <w:sz w:val="24"/>
          <w:szCs w:val="24"/>
        </w:rPr>
      </w:pPr>
      <w:bookmarkStart w:id="11" w:name="_Toc19515395"/>
      <w:r>
        <w:rPr>
          <w:rFonts w:hint="eastAsia" w:ascii="仿宋" w:hAnsi="仿宋" w:eastAsia="仿宋" w:cs="仿宋"/>
          <w:b/>
          <w:bCs/>
          <w:sz w:val="24"/>
          <w:szCs w:val="24"/>
          <w:lang w:val="en-US" w:eastAsia="zh-CN"/>
        </w:rPr>
        <w:t>十</w:t>
      </w:r>
      <w:r>
        <w:rPr>
          <w:rFonts w:hint="eastAsia" w:ascii="仿宋" w:hAnsi="仿宋" w:eastAsia="仿宋" w:cs="仿宋"/>
          <w:b/>
          <w:bCs/>
          <w:sz w:val="24"/>
          <w:szCs w:val="24"/>
        </w:rPr>
        <w:t>、合同生效及其它</w:t>
      </w:r>
      <w:bookmarkEnd w:id="11"/>
    </w:p>
    <w:p w14:paraId="2A1DD972">
      <w:pPr>
        <w:widowControl/>
        <w:autoSpaceDE w:val="0"/>
        <w:autoSpaceDN w:val="0"/>
        <w:snapToGrid w:val="0"/>
        <w:spacing w:line="360" w:lineRule="auto"/>
        <w:ind w:right="-110" w:firstLine="480" w:firstLineChars="200"/>
        <w:textAlignment w:val="bottom"/>
        <w:rPr>
          <w:rFonts w:ascii="仿宋" w:hAnsi="仿宋" w:eastAsia="仿宋" w:cs="仿宋"/>
          <w:kern w:val="0"/>
          <w:sz w:val="24"/>
          <w:szCs w:val="24"/>
        </w:rPr>
      </w:pPr>
      <w:r>
        <w:rPr>
          <w:rFonts w:hint="eastAsia" w:ascii="仿宋" w:hAnsi="仿宋" w:eastAsia="仿宋" w:cs="仿宋"/>
          <w:kern w:val="0"/>
          <w:sz w:val="24"/>
          <w:szCs w:val="24"/>
        </w:rPr>
        <w:t>1、合同未尽事宜、由甲、乙双方协商，作为合同补充，与原合同具有同等法律效力。</w:t>
      </w:r>
    </w:p>
    <w:p w14:paraId="71572054">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szCs w:val="24"/>
        </w:rPr>
      </w:pPr>
      <w:r>
        <w:rPr>
          <w:rFonts w:hint="eastAsia" w:ascii="仿宋" w:hAnsi="仿宋" w:eastAsia="仿宋" w:cs="仿宋"/>
          <w:kern w:val="0"/>
          <w:sz w:val="24"/>
          <w:szCs w:val="24"/>
        </w:rPr>
        <w:t>2、 本合同正本一式</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份，甲方、乙方双方分别执</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备案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p>
    <w:p w14:paraId="225441C7">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szCs w:val="24"/>
        </w:rPr>
      </w:pPr>
      <w:r>
        <w:rPr>
          <w:rFonts w:hint="eastAsia" w:ascii="仿宋" w:hAnsi="仿宋" w:eastAsia="仿宋" w:cs="仿宋"/>
          <w:kern w:val="0"/>
          <w:sz w:val="24"/>
          <w:szCs w:val="24"/>
        </w:rPr>
        <w:t>3、合同经甲乙双方盖章、签字后生效，合同签订地点为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w:t>
      </w:r>
    </w:p>
    <w:p w14:paraId="4B1C690E">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szCs w:val="24"/>
        </w:rPr>
      </w:pPr>
      <w:r>
        <w:rPr>
          <w:rFonts w:hint="eastAsia" w:ascii="仿宋" w:hAnsi="仿宋" w:eastAsia="仿宋" w:cs="仿宋"/>
          <w:kern w:val="0"/>
          <w:sz w:val="24"/>
          <w:szCs w:val="24"/>
        </w:rPr>
        <w:t>4、生效时间：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w:t>
      </w:r>
    </w:p>
    <w:tbl>
      <w:tblPr>
        <w:tblStyle w:val="16"/>
        <w:tblW w:w="0" w:type="auto"/>
        <w:jc w:val="center"/>
        <w:tblLayout w:type="fixed"/>
        <w:tblCellMar>
          <w:top w:w="0" w:type="dxa"/>
          <w:left w:w="108" w:type="dxa"/>
          <w:bottom w:w="0" w:type="dxa"/>
          <w:right w:w="108" w:type="dxa"/>
        </w:tblCellMar>
      </w:tblPr>
      <w:tblGrid>
        <w:gridCol w:w="4550"/>
        <w:gridCol w:w="4550"/>
      </w:tblGrid>
      <w:tr w14:paraId="3C7A75B9">
        <w:tblPrEx>
          <w:tblCellMar>
            <w:top w:w="0" w:type="dxa"/>
            <w:left w:w="108" w:type="dxa"/>
            <w:bottom w:w="0" w:type="dxa"/>
            <w:right w:w="108" w:type="dxa"/>
          </w:tblCellMar>
        </w:tblPrEx>
        <w:trPr>
          <w:trHeight w:val="1292" w:hRule="atLeast"/>
          <w:jc w:val="center"/>
        </w:trPr>
        <w:tc>
          <w:tcPr>
            <w:tcW w:w="4550" w:type="dxa"/>
          </w:tcPr>
          <w:p w14:paraId="3DE5C09F">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甲方名称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13DBA63D">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地址：</w:t>
            </w:r>
          </w:p>
          <w:p w14:paraId="08ED4E16">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代表人（签字）：</w:t>
            </w:r>
          </w:p>
          <w:p w14:paraId="1F389584">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电话：</w:t>
            </w:r>
          </w:p>
          <w:p w14:paraId="4F66D041">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开户银行：</w:t>
            </w:r>
          </w:p>
          <w:p w14:paraId="7544D860">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账号：</w:t>
            </w:r>
          </w:p>
        </w:tc>
        <w:tc>
          <w:tcPr>
            <w:tcW w:w="4550" w:type="dxa"/>
          </w:tcPr>
          <w:p w14:paraId="632CDBA6">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乙方名称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62704ED6">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地址：</w:t>
            </w:r>
          </w:p>
          <w:p w14:paraId="30DD531F">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代表人（签字）：</w:t>
            </w:r>
          </w:p>
          <w:p w14:paraId="5EFAA8EE">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电话：</w:t>
            </w:r>
          </w:p>
          <w:p w14:paraId="7B8EDACE">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开户银行：</w:t>
            </w:r>
          </w:p>
          <w:p w14:paraId="71B0F021">
            <w:pPr>
              <w:widowControl/>
              <w:autoSpaceDE w:val="0"/>
              <w:autoSpaceDN w:val="0"/>
              <w:snapToGrid w:val="0"/>
              <w:spacing w:line="360" w:lineRule="auto"/>
              <w:ind w:right="-154"/>
              <w:textAlignment w:val="bottom"/>
              <w:rPr>
                <w:rFonts w:ascii="仿宋" w:hAnsi="仿宋" w:eastAsia="仿宋" w:cs="仿宋"/>
                <w:kern w:val="0"/>
                <w:sz w:val="24"/>
                <w:szCs w:val="24"/>
              </w:rPr>
            </w:pPr>
            <w:r>
              <w:rPr>
                <w:rFonts w:hint="eastAsia" w:ascii="仿宋" w:hAnsi="仿宋" w:eastAsia="仿宋" w:cs="仿宋"/>
                <w:kern w:val="0"/>
                <w:sz w:val="24"/>
                <w:szCs w:val="24"/>
              </w:rPr>
              <w:t>账号：</w:t>
            </w:r>
          </w:p>
        </w:tc>
      </w:tr>
    </w:tbl>
    <w:p w14:paraId="732AC8CB">
      <w:pPr>
        <w:pStyle w:val="20"/>
        <w:rPr>
          <w:rFonts w:hint="eastAsia" w:ascii="仿宋" w:hAnsi="仿宋" w:eastAsia="仿宋" w:cs="仿宋"/>
          <w:sz w:val="24"/>
          <w:szCs w:val="24"/>
          <w:lang w:val="en-US" w:eastAsia="zh-Hans"/>
        </w:rPr>
      </w:pPr>
    </w:p>
    <w:p w14:paraId="3C279AC6"/>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1"/>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1"/>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5C063"/>
    <w:multiLevelType w:val="singleLevel"/>
    <w:tmpl w:val="A785C063"/>
    <w:lvl w:ilvl="0" w:tentative="0">
      <w:start w:val="1"/>
      <w:numFmt w:val="decimal"/>
      <w:suff w:val="nothing"/>
      <w:lvlText w:val="（%1）"/>
      <w:lvlJc w:val="left"/>
    </w:lvl>
  </w:abstractNum>
  <w:abstractNum w:abstractNumId="1">
    <w:nsid w:val="00F6EF38"/>
    <w:multiLevelType w:val="singleLevel"/>
    <w:tmpl w:val="00F6EF38"/>
    <w:lvl w:ilvl="0" w:tentative="0">
      <w:start w:val="1"/>
      <w:numFmt w:val="decimal"/>
      <w:suff w:val="nothing"/>
      <w:lvlText w:val="%1、"/>
      <w:lvlJc w:val="left"/>
    </w:lvl>
  </w:abstractNum>
  <w:abstractNum w:abstractNumId="2">
    <w:nsid w:val="10A4C276"/>
    <w:multiLevelType w:val="singleLevel"/>
    <w:tmpl w:val="10A4C276"/>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22CC580A"/>
    <w:rsid w:val="2B7962D4"/>
    <w:rsid w:val="2CD84875"/>
    <w:rsid w:val="4B513F5E"/>
    <w:rsid w:val="4DAB0F73"/>
    <w:rsid w:val="53524554"/>
    <w:rsid w:val="61712B04"/>
    <w:rsid w:val="6CBA13CF"/>
    <w:rsid w:val="78FC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Times New Roman" w:hAnsi="Times New Roman" w:eastAsia="仿宋"/>
      <w:kern w:val="0"/>
      <w:sz w:val="28"/>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Body Text"/>
    <w:basedOn w:val="1"/>
    <w:next w:val="1"/>
    <w:qFormat/>
    <w:uiPriority w:val="0"/>
    <w:rPr>
      <w:color w:val="993300"/>
      <w:sz w:val="24"/>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Plain Text"/>
    <w:basedOn w:val="1"/>
    <w:qFormat/>
    <w:uiPriority w:val="99"/>
    <w:rPr>
      <w:rFonts w:ascii="宋体" w:hAnsi="Courier New" w:cs="Courier New"/>
      <w:szCs w:val="21"/>
    </w:rPr>
  </w:style>
  <w:style w:type="paragraph" w:styleId="11">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toc 4"/>
    <w:basedOn w:val="1"/>
    <w:next w:val="1"/>
    <w:qFormat/>
    <w:uiPriority w:val="0"/>
    <w:pPr>
      <w:ind w:left="1260" w:leftChars="600"/>
    </w:pPr>
  </w:style>
  <w:style w:type="paragraph" w:styleId="13">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4">
    <w:name w:val="Body Text First Indent"/>
    <w:basedOn w:val="7"/>
    <w:next w:val="15"/>
    <w:qFormat/>
    <w:uiPriority w:val="99"/>
    <w:pPr>
      <w:ind w:firstLine="420" w:firstLineChars="100"/>
    </w:pPr>
  </w:style>
  <w:style w:type="paragraph" w:styleId="15">
    <w:name w:val="Body Text First Indent 2"/>
    <w:basedOn w:val="8"/>
    <w:next w:val="1"/>
    <w:qFormat/>
    <w:uiPriority w:val="0"/>
    <w:pPr>
      <w:ind w:firstLine="200" w:firstLineChars="200"/>
    </w:pPr>
  </w:style>
  <w:style w:type="paragraph" w:customStyle="1" w:styleId="18">
    <w:name w:val="样式 首行缩进:  2 字符"/>
    <w:basedOn w:val="1"/>
    <w:qFormat/>
    <w:uiPriority w:val="0"/>
    <w:pPr>
      <w:spacing w:line="400" w:lineRule="exact"/>
      <w:ind w:firstLine="200" w:firstLineChars="200"/>
    </w:pPr>
    <w:rPr>
      <w:rFonts w:cs="宋体"/>
      <w:szCs w:val="24"/>
    </w:rPr>
  </w:style>
  <w:style w:type="paragraph" w:styleId="19">
    <w:name w:val="List Paragraph"/>
    <w:basedOn w:val="1"/>
    <w:qFormat/>
    <w:uiPriority w:val="34"/>
    <w:pPr>
      <w:ind w:firstLine="420" w:firstLineChars="200"/>
    </w:pPr>
    <w:rPr>
      <w:rFonts w:ascii="Calibri" w:hAnsi="Calibri" w:eastAsia="宋体" w:cs="Times New Roman"/>
      <w:szCs w:val="2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列出段落5"/>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1695</Words>
  <Characters>1723</Characters>
  <Lines>0</Lines>
  <Paragraphs>0</Paragraphs>
  <TotalTime>0</TotalTime>
  <ScaleCrop>false</ScaleCrop>
  <LinksUpToDate>false</LinksUpToDate>
  <CharactersWithSpaces>1926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zl</cp:lastModifiedBy>
  <dcterms:modified xsi:type="dcterms:W3CDTF">2026-03-04T07:19:41Z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48BBDE5B7DBC4FB789204AEB7225012F_12</vt:lpwstr>
  </property>
  <property fmtid="{D5CDD505-2E9C-101B-9397-08002B2CF9AE}" pid="4" name="KSOTemplateDocerSaveRecord">
    <vt:lpwstr>eyJoZGlkIjoiMjlmN2I3NTM2MGJhNTQ4Mjg5MGIyZTExN2VmNDgwMDMiLCJ1c2VySWQiOiIyNzQ5OTcwMTQifQ==</vt:lpwstr>
  </property>
</Properties>
</file>