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版本号：RTZB-2025-2027（S）20260305001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附属小学北教学楼暖气改造工程(三次)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RTZB-2025-2027（S）</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附属小学北教学楼暖气改造工程(三次)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RTZB-2025-2027（S）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附属小学北教学楼暖气改造工程(三次)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附属小学北教学楼建筑面积约四千余平方米，除已更换过暖气的两个部室，目前仍有3981平方米的校舍采暖设施年久失修，存在严重渗漏问题，给校园及师生安全带来风险隐患。计划对采暖系统进行更换。本次采购标的包括：北教学楼一至五层暖气及配套管道阀门拆除；暖气及配套管道阀门安装；暖气室外主管道及阀门安装及采暖系统整体水压试验等，详见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采购包1（附属小学北教学楼暖气改造工程）：属于专门面向中小企业采购。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p>
      <w:pPr>
        <w:pStyle w:val="null3"/>
      </w:pPr>
      <w:r>
        <w:rPr>
          <w:rFonts w:ascii="仿宋_GB2312" w:hAnsi="仿宋_GB2312" w:cs="仿宋_GB2312" w:eastAsia="仿宋_GB2312"/>
        </w:rPr>
        <w:t>2、法人主体：提供营业执照/事业单位法人登记证/非企业单位登记证/执业许可证，未提供的接受采购人通过国家企业信用信息公示系统（http://www.gsxt.gov.cn/index.html）进行相关信息的核实，并承担核实不到的后果；自然人提供身份证。</w:t>
      </w:r>
    </w:p>
    <w:p>
      <w:pPr>
        <w:pStyle w:val="null3"/>
      </w:pPr>
      <w:r>
        <w:rPr>
          <w:rFonts w:ascii="仿宋_GB2312" w:hAnsi="仿宋_GB2312" w:cs="仿宋_GB2312" w:eastAsia="仿宋_GB2312"/>
        </w:rPr>
        <w:t>3、财务状况：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8、企业资质：具备建筑工程施工总承包三级及以上资质、有效的安全生产许可证。提供资质证书及安全生产许可证。</w:t>
      </w:r>
    </w:p>
    <w:p>
      <w:pPr>
        <w:pStyle w:val="null3"/>
      </w:pPr>
      <w:r>
        <w:rPr>
          <w:rFonts w:ascii="仿宋_GB2312" w:hAnsi="仿宋_GB2312" w:cs="仿宋_GB2312" w:eastAsia="仿宋_GB2312"/>
        </w:rPr>
        <w:t>9、项目经理：拟派项目经理须为供应商单位注册的建筑工程专业贰级及以上注册建造师，具有安全生产考核合格证（B证）且无在建工程。提供证书及无在建工程书面声明。</w:t>
      </w:r>
    </w:p>
    <w:p>
      <w:pPr>
        <w:pStyle w:val="null3"/>
      </w:pPr>
      <w:r>
        <w:rPr>
          <w:rFonts w:ascii="仿宋_GB2312" w:hAnsi="仿宋_GB2312" w:cs="仿宋_GB2312" w:eastAsia="仿宋_GB2312"/>
        </w:rPr>
        <w:t>10、联合体形式：本项目不接受联合体，提供非联合体声明。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采购包1：345,788.30元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说明：1.本采购包履约保证金为合同金额的5.0% 说明：供应商凭成交通知书向采购人缴纳成交金额的5%作为履约保证金。 2.缴纳信息： 户名：西北大学 开户银行：交通银行太白路支行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以成交价为基础计算下浮20%计取，供应商在下载成交通知书时一次性缴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踏勘时间：2026-03-19 09:30:00</w:t>
            </w:r>
          </w:p>
          <w:p>
            <w:pPr>
              <w:pStyle w:val="null3"/>
              <w:ind w:firstLine="975"/>
            </w:pPr>
            <w:r>
              <w:rPr>
                <w:rFonts w:ascii="仿宋_GB2312" w:hAnsi="仿宋_GB2312" w:cs="仿宋_GB2312" w:eastAsia="仿宋_GB2312"/>
              </w:rPr>
              <w:t>踏勘地点：太白北路324号西大新村内西北大学附属小学</w:t>
            </w:r>
          </w:p>
          <w:p>
            <w:pPr>
              <w:pStyle w:val="null3"/>
              <w:ind w:firstLine="975"/>
            </w:pPr>
            <w:r>
              <w:rPr>
                <w:rFonts w:ascii="仿宋_GB2312" w:hAnsi="仿宋_GB2312" w:cs="仿宋_GB2312" w:eastAsia="仿宋_GB2312"/>
              </w:rPr>
              <w:t>联系人：水工</w:t>
            </w:r>
          </w:p>
          <w:p>
            <w:pPr>
              <w:pStyle w:val="null3"/>
              <w:ind w:firstLine="975"/>
            </w:pPr>
            <w:r>
              <w:rPr>
                <w:rFonts w:ascii="仿宋_GB2312" w:hAnsi="仿宋_GB2312" w:cs="仿宋_GB2312" w:eastAsia="仿宋_GB2312"/>
              </w:rPr>
              <w:t>联系电话号码：15332338330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345,788.30</w:t>
      </w:r>
    </w:p>
    <w:p>
      <w:pPr>
        <w:pStyle w:val="null3"/>
      </w:pPr>
      <w:r>
        <w:rPr>
          <w:rFonts w:ascii="仿宋_GB2312" w:hAnsi="仿宋_GB2312" w:cs="仿宋_GB2312" w:eastAsia="仿宋_GB2312"/>
        </w:rPr>
        <w:t>采购包最高限价（元）: 345,788.30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北教学楼暖气改造工程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345,788.30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标的名称：北教学楼暖气改造工程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项目内容：</w:t>
            </w:r>
            <w:r>
              <w:rPr>
                <w:rFonts w:ascii="仿宋_GB2312" w:hAnsi="仿宋_GB2312" w:cs="仿宋_GB2312" w:eastAsia="仿宋_GB2312"/>
                <w:sz w:val="24"/>
                <w:color w:val="0000FF"/>
              </w:rPr>
              <w:t>西北大学附属小学北教学楼建筑面积约四千余平方米，除已更换过暖气的两个部室，目前仍有</w:t>
            </w:r>
            <w:r>
              <w:rPr>
                <w:rFonts w:ascii="仿宋_GB2312" w:hAnsi="仿宋_GB2312" w:cs="仿宋_GB2312" w:eastAsia="仿宋_GB2312"/>
                <w:sz w:val="24"/>
                <w:color w:val="0000FF"/>
              </w:rPr>
              <w:t>3981平方米的校舍采暖设施年久失修，存在严重渗漏问题，给校园及师生安全带来风险隐患。计划对采暖系统进行更换。本次采购标的包括：北教学楼一至五层暖气及配套管道阀门拆除；暖气及配套管道阀门安装；暖气室外主管道及阀门安装及采暖系统整体水压试验等。</w:t>
            </w:r>
            <w:r>
              <w:rPr>
                <w:rFonts w:ascii="仿宋_GB2312" w:hAnsi="仿宋_GB2312" w:cs="仿宋_GB2312" w:eastAsia="仿宋_GB2312"/>
                <w:sz w:val="24"/>
                <w:color w:val="0000FF"/>
              </w:rPr>
              <w:t>完成图纸、工程量清单的全部内容。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FF"/>
              </w:rPr>
              <w:t>一、质量要求</w:t>
            </w:r>
          </w:p>
          <w:p>
            <w:pPr>
              <w:pStyle w:val="null3"/>
              <w:jc w:val="both"/>
            </w:pPr>
            <w:r>
              <w:rPr>
                <w:rFonts w:ascii="仿宋_GB2312" w:hAnsi="仿宋_GB2312" w:cs="仿宋_GB2312" w:eastAsia="仿宋_GB2312"/>
                <w:sz w:val="24"/>
                <w:color w:val="0000FF"/>
              </w:rPr>
              <w:t>散热器、管道、阀门等本采暖改造工程所需构配件，质量须符合国家及行业现行相关标准、规范。安装施工质量须符合国家及行业现行相关标准、规范。质量保修期不少于两个采暖季。</w:t>
            </w:r>
          </w:p>
          <w:p>
            <w:pPr>
              <w:pStyle w:val="null3"/>
              <w:jc w:val="both"/>
            </w:pPr>
            <w:r>
              <w:rPr>
                <w:rFonts w:ascii="仿宋_GB2312" w:hAnsi="仿宋_GB2312" w:cs="仿宋_GB2312" w:eastAsia="仿宋_GB2312"/>
                <w:sz w:val="24"/>
                <w:color w:val="0000FF"/>
              </w:rPr>
              <w:t>二、安全要求</w:t>
            </w:r>
          </w:p>
          <w:p>
            <w:pPr>
              <w:pStyle w:val="null3"/>
              <w:jc w:val="both"/>
            </w:pPr>
            <w:r>
              <w:rPr>
                <w:rFonts w:ascii="仿宋_GB2312" w:hAnsi="仿宋_GB2312" w:cs="仿宋_GB2312" w:eastAsia="仿宋_GB2312"/>
                <w:sz w:val="24"/>
                <w:color w:val="0000FF"/>
              </w:rPr>
              <w:t>杜绝一切安全事故，切实做到安全第一、预防为主。本工程实现无任何安全事故。</w:t>
            </w:r>
          </w:p>
          <w:p>
            <w:pPr>
              <w:pStyle w:val="null3"/>
              <w:jc w:val="both"/>
            </w:pPr>
            <w:r>
              <w:rPr>
                <w:rFonts w:ascii="仿宋_GB2312" w:hAnsi="仿宋_GB2312" w:cs="仿宋_GB2312" w:eastAsia="仿宋_GB2312"/>
                <w:sz w:val="24"/>
                <w:color w:val="0000FF"/>
              </w:rPr>
              <w:t>三、文明施工要求</w:t>
            </w:r>
          </w:p>
          <w:p>
            <w:pPr>
              <w:pStyle w:val="null3"/>
              <w:jc w:val="both"/>
            </w:pPr>
            <w:r>
              <w:rPr>
                <w:rFonts w:ascii="仿宋_GB2312" w:hAnsi="仿宋_GB2312" w:cs="仿宋_GB2312" w:eastAsia="仿宋_GB2312"/>
                <w:sz w:val="24"/>
                <w:color w:val="0000FF"/>
              </w:rPr>
              <w:t>现场用电，不私拉乱接；工地定制摆放，材料进场按要求归类整齐摆放，施工现场每天做到工完场清；中午</w:t>
            </w:r>
            <w:r>
              <w:rPr>
                <w:rFonts w:ascii="仿宋_GB2312" w:hAnsi="仿宋_GB2312" w:cs="仿宋_GB2312" w:eastAsia="仿宋_GB2312"/>
                <w:sz w:val="24"/>
                <w:color w:val="0000FF"/>
              </w:rPr>
              <w:t>12点到2点之间不允许施工。非必须晚间不能加班，如确有必须加班的事项，加班时间不能超过21点。</w:t>
            </w:r>
          </w:p>
          <w:p>
            <w:pPr>
              <w:pStyle w:val="null3"/>
              <w:jc w:val="both"/>
            </w:pPr>
            <w:r>
              <w:rPr>
                <w:rFonts w:ascii="仿宋_GB2312" w:hAnsi="仿宋_GB2312" w:cs="仿宋_GB2312" w:eastAsia="仿宋_GB2312"/>
                <w:sz w:val="24"/>
                <w:color w:val="0000FF"/>
              </w:rPr>
              <w:t>四、进度安排</w:t>
            </w:r>
          </w:p>
          <w:p>
            <w:pPr>
              <w:pStyle w:val="null3"/>
              <w:jc w:val="both"/>
            </w:pPr>
            <w:r>
              <w:rPr>
                <w:rFonts w:ascii="仿宋_GB2312" w:hAnsi="仿宋_GB2312" w:cs="仿宋_GB2312" w:eastAsia="仿宋_GB2312"/>
                <w:sz w:val="24"/>
                <w:color w:val="0000FF"/>
              </w:rPr>
              <w:t>暑假期间施工，本工程计划总工期</w:t>
            </w:r>
            <w:r>
              <w:rPr>
                <w:rFonts w:ascii="仿宋_GB2312" w:hAnsi="仿宋_GB2312" w:cs="仿宋_GB2312" w:eastAsia="仿宋_GB2312"/>
                <w:sz w:val="24"/>
                <w:color w:val="0000FF"/>
              </w:rPr>
              <w:t>45日历天。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color w:val="0000FF"/>
              </w:rPr>
              <w:t>其他技术要求见施工图。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国家现行施工和验收规范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1.工期：45日历天。 2.付款方式：工程竣工验收合格后付至合同金额的80%，经学校审计后付至审定金额的100%，但前期支付金额超过审定金额的成交人应当退还。 3.质量标准：国家现行施工验收规范合格标准。 4.质保期：验收合格后2年；5.其他具体见合同要求。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通过电子化交易平台上传响应文件，另外还需在磋商截止时间前向代理机构递交密封完好的电子化交易系统生成的纸质版响应文件壹份（胶装，密封袋外层标注供应商名称和项目名称）。代理机构对递交的文件签收，由监标人查验密封情况并记录，开标后交磋商小组，作为评审的辅助资料。 递交方式：现场递交，或顺丰邮寄 2.供应商请仔细阅读招标文件《第一章 竞争性磋商邀请》第六条“电子化采购相关事项”，提前做好线上开标准备。 3.本项目磋商环节在电子化交易系统线上进行，供应商需自行了解系统磋商的要求和操作流程。未按流程操作或无法联系以及供应商自身原因错过磋商的视为自动放弃磋商，其磋商无效。 4.本项目采用两次报价，响应文件中的报价为首次报价，磋商后的报价为最终报价，评审按最终报价评审。 5.①中小企业判定： 是否属于中小企业，供应商按《政府采购促进中小企业发展管理办法》（财库〔2020〕46号）、《统计上大中小微型企业划分办法（2017）》（国统字﹝2017﹞213号）建筑业划型标准判定，并承担责任。如判定原则与第四章及附件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工程的施工单位为符合政策要求的中小企业。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法人主体</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1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具备建筑工程施工总承包三级及以上资质、有效的安全生产许可证。提供资质证书及安全生产许可证。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拟派项目经理须为供应商单位注册的建筑工程专业贰级及以上注册建造师，具有安全生产考核合格证（B证）且无在建工程。提供证书及无在建工程书面声明。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项目经理资格证书及无在建声明.docx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按格式填写供应商名称，至少以下文件中供应商名称应与营业执照、公章一致。1.响应文件封面。2.响应函。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验收合格后2年</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国家现行施工验收规范合格标准</w:t>
            </w:r>
          </w:p>
        </w:tc>
        <w:tc>
          <w:tcPr>
            <w:tcW w:type="dxa" w:w="1661"/>
          </w:tcPr>
          <w:p>
            <w:pPr>
              <w:pStyle w:val="null3"/>
            </w:pPr>
            <w:r>
              <w:rPr>
                <w:rFonts w:ascii="仿宋_GB2312" w:hAnsi="仿宋_GB2312" w:cs="仿宋_GB2312" w:eastAsia="仿宋_GB2312"/>
              </w:rPr>
              <w:t>质量标准.docx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3.付款方式：工程竣工验收合格后付至合同金额的80%，经学校审计后付至审定金额的100%，但前期支付金额超过审定金额的成交人应当退还。</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1.施工组织方案详细、各部分措施具体，可行性强，根据响应程度计[1.5-0）分，差或未提供不得分。 2.工程质量保证措施：保证工程质量的技术措施详细、完整、可行性强，根据响应程度计[1.5-0）分，差或未提供不得分。 3.安全生产组织措施：安全生产的技术组织措施详细、明确、可行性强；根据响应程度计[1.5-0）分，差或未提供不得分。 4.文明施工措施：文明施工措施及环境保护措施完整、详细、可行性强，根据响应程度计[1.5-0）分，差或未提供不得分。 5.拟派施工项目部：施工项目部组织架构清晰，分工明确，责任清晰，专业作业队配置齐全、详细，根据响应程度计[1.5-0）分；差或未提供不得分。 6.施工机械设备配备计划：主要机械设备配备齐全、合理，根据响应程度计[1.5-0）分；差或未提供不得分。 7.劳动力安排计划：劳动力安排详细、合理，根据响应程度计[1.5-0）分；差或未提供不得分。 8.工程进度计划及措施：工期满足采购要求，提供工程进度表或施工网络图以及详细的措施，工期控制连贯、清晰、合理、规范，根据响应程度计[1.5-0）分；差或未提供不得分。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供应商需提供主要材料清单及主要材料选型说明（包括但不限于暖气片，阀门、管材、涂料等）。 1.提供主要材料清单，清单品目完整，品牌明确，根据响应程度和详细程度计［2-0）分，未提供不得分。 2.提供主要材料选型说明，选型说明详细，产品技术参数符合项目特征，资料齐全，根据响应程度和详细程度计［5-0）分，未提供不得分。 3.所选材料为主流产品且提供市场调研情况说明的，根据响应程度和详细程度计［5-0）分，未提供不得分。 4.主要材料来源清晰，质量保证链条完整，根据响应程度和详细程度计［5-0）分，未提供不得分。 5.提供无假冒产品、无翻新产品的书面承诺，得2分。注：未提供承诺书不得分，承诺书格式自拟。 6.所选材料（不限于暖气片，阀门、管材、涂料等）为节能标志产品或环境标志产品的，每个计0.5分，最高1分。需提供认证证书。</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主要材料选型.docx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1.项目经理具有高级及以上职称的得2分，中级职称的得1分，其他的不得分。注：需提供身份证、职称证。 2.项目经理具有同类项目经验，每提供1份2023年3月1日至今业绩得1分，最高2分。注：需提供合同或验收报告或中标公告截图，且合同或验收报告或中标公告截图中能显示项目经理的名字。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项目经理职称及业绩.docx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在基础质保期（2年）的基础上，每增加1年得1分，最高5分。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 1.提供详细的维保人员名单，联系电话，并提供7X24小时服务响应的书面承诺得1分。（承诺书格式自拟） 2.维保方案（包括但不限于维保内容、维保方式、巡检等）详细，措施具体，可行性强，根据完善程度、可行性计［3-0）分，未提供不得分。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每提供1份供应商2023年3月1日至今类似工程业绩计1分，最多5分。 注：①业绩以合同为准，时间以合同签订时间为准。②提供合同（至少包括封面、内容页、盖章页）、验收单。</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50分。其他供应商的价格分按照下列公式计算：磋商报价得分=(磋商基准价/磋商报价)×50。计算分数时四舍五入取小数点后两位。</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详见附件：项目经理资格证书及无在建声明.docx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详见附件：项目经理职称及业绩.docx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详见附件：质量标准.docx</w:t>
      </w:r>
    </w:p>
    <w:p>
      <w:pPr>
        <w:pStyle w:val="null3"/>
        <w:ind w:firstLine="960"/>
      </w:pPr>
      <w:r>
        <w:rPr>
          <w:rFonts w:ascii="仿宋_GB2312" w:hAnsi="仿宋_GB2312" w:cs="仿宋_GB2312" w:eastAsia="仿宋_GB2312"/>
        </w:rPr>
        <w:t>详见附件：主要材料选型.docx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