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版本号：SXZD2026-CG-00120260306001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妇女儿童分院人防设备采购项目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SXZD2026-CG-001</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陕西正德项目管理咨询有限公司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陕西正德项目管理咨询有限公司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妇女儿童分院人防设备采购项目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SXZD2026-CG-001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妇女儿童分院人防设备采购项目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为满足采购人实际工作需要，现对人防设备进行采购采购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2、财务状况报告：提供2022、2023、2024 任意一年度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月至今已缴纳的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4、社会保障资金缴纳证明：提供2025年1月至今已缴存任意一个月社会保障资金缴存单据或社保机构开具的社会保险参保缴费证明，依法不需要缴纳社会保障资金的单位应提供相应证明文件;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5、专业技术能力：履行合同所必需的设备和专业技术能力的证明材料或书面声明</w:t>
      </w:r>
    </w:p>
    <w:p>
      <w:pPr>
        <w:pStyle w:val="null3"/>
      </w:pPr>
      <w:r>
        <w:rPr>
          <w:rFonts w:ascii="仿宋_GB2312" w:hAnsi="仿宋_GB2312" w:cs="仿宋_GB2312" w:eastAsia="仿宋_GB2312"/>
        </w:rPr>
        <w:t>6、无重大违法记录的声明：参加政府采购活动前三年内在经营活动中没有重大违法记录:参加政府采购活动前三年内在经营活动中没有重大违法记录的书面声明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7、法定代表人授权：法定代表人直接参加开标的，须出具法人身份证，并与营业执照上信息一致。法定代表人授权代表参加开标的，须出县法定代表人授权书及授权代表身份证。</w:t>
      </w:r>
    </w:p>
    <w:p>
      <w:pPr>
        <w:pStyle w:val="null3"/>
      </w:pPr>
      <w:r>
        <w:rPr>
          <w:rFonts w:ascii="仿宋_GB2312" w:hAnsi="仿宋_GB2312" w:cs="仿宋_GB2312" w:eastAsia="仿宋_GB2312"/>
        </w:rPr>
        <w:t>8、联合体：本项目不接受联合体投标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延安大学附属医院招标采供科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陕西正德项目管理咨询有限公司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陕西省西安市雁塔区太白南路紫薇尚层西2号楼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褚夏琼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02968650388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开户名称：陕西正德项目管理咨询有限公司</w:t>
            </w:r>
          </w:p>
          <w:p>
            <w:pPr>
              <w:pStyle w:val="null3"/>
            </w:pPr>
            <w:r>
              <w:rPr>
                <w:rFonts w:ascii="仿宋_GB2312" w:hAnsi="仿宋_GB2312" w:cs="仿宋_GB2312" w:eastAsia="仿宋_GB2312"/>
              </w:rPr>
              <w:t>开户银行：中国银行股份有限公司西安锦业路支行</w:t>
            </w:r>
          </w:p>
          <w:p>
            <w:pPr>
              <w:pStyle w:val="null3"/>
            </w:pPr>
            <w:r>
              <w:rPr>
                <w:rFonts w:ascii="仿宋_GB2312" w:hAnsi="仿宋_GB2312" w:cs="仿宋_GB2312" w:eastAsia="仿宋_GB2312"/>
              </w:rPr>
              <w:t>银行账号：103665646561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担保的金额:签订合同后15天内。承包人需提交中标价(扣除暂列金额)的10%履约担保，本项目接受所有符合国家相关规定形式的保证金缴纳(包括但不限于现金转账、银行保函、工程担保公司出具的保函或保险机构出具工程保证保险单等)。履约担保的有效期至本工程缺陷责任期满为止。</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国家计委颁发的《招标代理服务收费管理暂行办法》（计价格[2002]1980号）和国家发展和改革委员会办公厅颁发的《关于招标代理服务收费有关问题的通知》（发改办价格[2003]857号）的有关规定执行收取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陕西正德项目管理咨询有限公司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陕西正德项目管理咨询有限公司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陕西正德项目管理咨询有限公司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联系人：褚工</w:t>
      </w:r>
    </w:p>
    <w:p>
      <w:pPr>
        <w:pStyle w:val="null3"/>
      </w:pPr>
      <w:r>
        <w:rPr>
          <w:rFonts w:ascii="仿宋_GB2312" w:hAnsi="仿宋_GB2312" w:cs="仿宋_GB2312" w:eastAsia="仿宋_GB2312"/>
        </w:rPr>
        <w:t>联系电话：02968858803</w:t>
      </w:r>
    </w:p>
    <w:p>
      <w:pPr>
        <w:pStyle w:val="null3"/>
      </w:pPr>
      <w:r>
        <w:rPr>
          <w:rFonts w:ascii="仿宋_GB2312" w:hAnsi="仿宋_GB2312" w:cs="仿宋_GB2312" w:eastAsia="仿宋_GB2312"/>
        </w:rPr>
        <w:t>地址：书面材料送至西安市雁塔区太白南路紫薇尚层西2号楼2707室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为满足采购人实际工作需要，现对人防设备进行采购采购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人防防化设备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标的名称：人防防化设备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9"/>
              <w:gridCol w:w="663"/>
              <w:gridCol w:w="2458"/>
              <w:gridCol w:w="710"/>
              <w:gridCol w:w="621"/>
            </w:tblGrid>
            <w:tr>
              <w:tc>
                <w:tcPr>
                  <w:tcW w:type="dxa" w:w="63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66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245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参数要求</w:t>
                  </w:r>
                </w:p>
              </w:tc>
              <w:tc>
                <w:tcPr>
                  <w:tcW w:type="dxa" w:w="7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62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639"/>
                  <w:vMerge/>
                  <w:tcBorders>
                    <w:top w:val="single" w:color="000000" w:sz="4"/>
                    <w:left w:val="single" w:color="000000" w:sz="4"/>
                    <w:bottom w:val="single" w:color="000000" w:sz="4"/>
                    <w:right w:val="single" w:color="000000" w:sz="4"/>
                  </w:tcBorders>
                </w:tcPr>
                <w:p/>
              </w:tc>
              <w:tc>
                <w:tcPr>
                  <w:tcW w:type="dxa" w:w="663"/>
                  <w:vMerge/>
                  <w:tcBorders>
                    <w:top w:val="single" w:color="000000" w:sz="4"/>
                    <w:left w:val="none" w:color="000000" w:sz="4"/>
                    <w:bottom w:val="single" w:color="000000" w:sz="4"/>
                    <w:right w:val="single" w:color="000000" w:sz="4"/>
                  </w:tcBorders>
                </w:tcPr>
                <w:p/>
              </w:tc>
              <w:tc>
                <w:tcPr>
                  <w:tcW w:type="dxa" w:w="2458"/>
                  <w:vMerge/>
                  <w:tcBorders>
                    <w:top w:val="single" w:color="000000" w:sz="4"/>
                    <w:left w:val="none" w:color="000000" w:sz="4"/>
                    <w:bottom w:val="single" w:color="000000" w:sz="4"/>
                    <w:right w:val="single" w:color="000000" w:sz="4"/>
                  </w:tcBorders>
                </w:tcPr>
                <w:p/>
              </w:tc>
              <w:tc>
                <w:tcPr>
                  <w:tcW w:type="dxa" w:w="710"/>
                  <w:vMerge/>
                  <w:tcBorders>
                    <w:top w:val="singl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639"/>
                  <w:vMerge/>
                  <w:tcBorders>
                    <w:top w:val="single" w:color="000000" w:sz="4"/>
                    <w:left w:val="single" w:color="000000" w:sz="4"/>
                    <w:bottom w:val="single" w:color="000000" w:sz="4"/>
                    <w:right w:val="single" w:color="000000" w:sz="4"/>
                  </w:tcBorders>
                </w:tcPr>
                <w:p/>
              </w:tc>
              <w:tc>
                <w:tcPr>
                  <w:tcW w:type="dxa" w:w="663"/>
                  <w:vMerge/>
                  <w:tcBorders>
                    <w:top w:val="single" w:color="000000" w:sz="4"/>
                    <w:left w:val="none" w:color="000000" w:sz="4"/>
                    <w:bottom w:val="single" w:color="000000" w:sz="4"/>
                    <w:right w:val="single" w:color="000000" w:sz="4"/>
                  </w:tcBorders>
                </w:tcPr>
                <w:p/>
              </w:tc>
              <w:tc>
                <w:tcPr>
                  <w:tcW w:type="dxa" w:w="2458"/>
                  <w:vMerge/>
                  <w:tcBorders>
                    <w:top w:val="single" w:color="000000" w:sz="4"/>
                    <w:left w:val="none" w:color="000000" w:sz="4"/>
                    <w:bottom w:val="single" w:color="000000" w:sz="4"/>
                    <w:right w:val="single" w:color="000000" w:sz="4"/>
                  </w:tcBorders>
                </w:tcPr>
                <w:p/>
              </w:tc>
              <w:tc>
                <w:tcPr>
                  <w:tcW w:type="dxa" w:w="710"/>
                  <w:vMerge/>
                  <w:tcBorders>
                    <w:top w:val="single" w:color="000000" w:sz="4"/>
                    <w:left w:val="none" w:color="000000" w:sz="4"/>
                    <w:bottom w:val="single" w:color="000000" w:sz="4"/>
                    <w:right w:val="single" w:color="000000" w:sz="4"/>
                  </w:tcBorders>
                </w:tcPr>
                <w:p/>
              </w:tc>
              <w:tc>
                <w:tcPr>
                  <w:tcW w:type="dxa" w:w="621"/>
                  <w:vMerge/>
                  <w:tcBorders>
                    <w:top w:val="single" w:color="000000" w:sz="4"/>
                    <w:left w:val="none" w:color="000000" w:sz="4"/>
                    <w:bottom w:val="single" w:color="000000" w:sz="4"/>
                    <w:right w:val="single" w:color="000000" w:sz="4"/>
                  </w:tcBorders>
                </w:tcPr>
                <w:p/>
              </w:tc>
            </w:tr>
            <w:tr>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毒剂报警器（含探头）</w:t>
                  </w:r>
                </w:p>
              </w:tc>
              <w:tc>
                <w:tcPr>
                  <w:tcW w:type="dxa" w:w="2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符合国家相关标准或行业标准</w:t>
                  </w:r>
                </w:p>
              </w:tc>
              <w:tc>
                <w:tcPr>
                  <w:tcW w:type="dxa" w:w="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6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空气质量监测仪（</w:t>
                  </w:r>
                  <w:r>
                    <w:rPr>
                      <w:rFonts w:ascii="仿宋_GB2312" w:hAnsi="仿宋_GB2312" w:cs="仿宋_GB2312" w:eastAsia="仿宋_GB2312"/>
                      <w:sz w:val="18"/>
                      <w:color w:val="000000"/>
                    </w:rPr>
                    <w:t>AQM）</w:t>
                  </w:r>
                </w:p>
              </w:tc>
              <w:tc>
                <w:tcPr>
                  <w:tcW w:type="dxa" w:w="2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符合国家相关标准或行业标准</w:t>
                  </w:r>
                </w:p>
              </w:tc>
              <w:tc>
                <w:tcPr>
                  <w:tcW w:type="dxa" w:w="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6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空气放射性检测仪（</w:t>
                  </w:r>
                  <w:r>
                    <w:rPr>
                      <w:rFonts w:ascii="仿宋_GB2312" w:hAnsi="仿宋_GB2312" w:cs="仿宋_GB2312" w:eastAsia="仿宋_GB2312"/>
                      <w:sz w:val="18"/>
                      <w:color w:val="000000"/>
                    </w:rPr>
                    <w:t>ARM）</w:t>
                  </w:r>
                </w:p>
              </w:tc>
              <w:tc>
                <w:tcPr>
                  <w:tcW w:type="dxa" w:w="2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color w:val="000000"/>
                    </w:rPr>
                    <w:t>符合国家相关标准或行业标准</w:t>
                  </w:r>
                </w:p>
              </w:tc>
              <w:tc>
                <w:tcPr>
                  <w:tcW w:type="dxa" w:w="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6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空气染毒监测仪（</w:t>
                  </w:r>
                  <w:r>
                    <w:rPr>
                      <w:rFonts w:ascii="仿宋_GB2312" w:hAnsi="仿宋_GB2312" w:cs="仿宋_GB2312" w:eastAsia="仿宋_GB2312"/>
                      <w:sz w:val="18"/>
                      <w:color w:val="000000"/>
                    </w:rPr>
                    <w:t>TM）</w:t>
                  </w:r>
                </w:p>
              </w:tc>
              <w:tc>
                <w:tcPr>
                  <w:tcW w:type="dxa" w:w="2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符合国家相关标准或行业标准</w:t>
                  </w:r>
                </w:p>
              </w:tc>
              <w:tc>
                <w:tcPr>
                  <w:tcW w:type="dxa" w:w="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6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30个日历日完成供货、安装、调试，本项目所有设备或产品质量保证期为自验收合格之日起不少于两年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合同签订达到付款条件后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设备安装调试完毕后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硬件设备到达采购人指定地点后，组织现场开箱清点验货。所到设备的型号和数量必须与合同一致，供应商和采购人共同签署到货验收单。未签收到货验收单的货物不得擅自开箱安装。(二)供应商保证合同所有设备是全新的(包括零部件)，其规格参数及配件不低于(符合)本项目招标文件的要求。(三)安装完成，供应商进行自测并形成自测报告，出现的问题限期整改。自检最终通过后，供应商提出验收申请，采购人组织相关人员进行最终验收。(四)设备采购从通过最终验收之日起进入质保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本项目所有设备或产品质量保证期为自验收合格之日起不少于两年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 1、供应商对其所提供软硬件设备、材料等负责备品配件的供应,长期提供维修服务，并提供技术咨询等服务。质保期内应无偿负责维修和替换等工作。超出质保期只收取维修所需原设备、材料成本费用。 2、服务响应时限:7*24小时服务，提供售后服务电话(应具有:固定电话、移动电话、传真)。3、派专人提供售后服务，并每月定期对所提供的设备、材料等进行巡检，做好巡检记录。 4、维修工作时间不大于24小时，更换工作时间不大于72小时。 5、供应商应无偿对采购人在现场进行维护、使用说明的培训，使采购人能够完成现场日常操作，技术人员能完成系统维护工作，并制作维护使用手册。 6、在保修期内更换部件，其保修期应相应延长。(二)供应商需要在线提交所有通过电子化交易平台实施的政府采购项目的投标文件。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提供2022、2023、2024 任意一年度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履行合同所必需的设备和专业技术能力的证明材料或书面声明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法定代表人直接参加开标的，须出具法人身份证，并与营业执照上信息一致。法定代表人授权代表参加开标的，须出县法定代表人授权书及授权代表身份证。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业绩.docx 投标方案说明.docx 中小企业声明函 技术参数应答表.docx 分项报价表.docx 投标人应提交的相关资格证明材料.docx 技术偏离表.docx 投标函 投标保证金缴纳凭证.docx 残疾人福利性单位声明函 标的清单 投标文件封面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技术参数应答表.docx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开标一览表 业绩.docx 投标方案说明.docx 中小企业声明函 技术参数应答表.docx 分项报价表.docx 投标人应提交的相关资格证明材料.docx 技术偏离表.docx 投标函 投标保证金缴纳凭证.docx 残疾人福利性单位声明函 标的清单 投标文件封面 商务偏离表.docx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投标人所投设备配置齐全，数量准确无缺漏项，满足招标文件要求的，赋6分。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确保生产供应的产品无假货、水货、翻新货且无产权纠纷，并符合国家相关标准或行业标准的，并提供承诺书的，赋2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一、根据项目实际需要，提供项目实施方案。方案内容包含但不限于：1.供货方案；2.人员配置方案；3.验收方案。 二、评审标准 1.完整性：方案须详细全面，表述清晰完整，完全满足招标文件要求； 2.可实施性：切合本项目实际情况，提出步骤清晰、合理的方案； 3.针对性：方案能够紧扣项目实际情况，内容科学合理。 三、赋分标准（满分 18分） 1.供货方案：按照评审标准，每完全满足一项得2分，最高得6分； 2.人员配置：按照评审标准，每完全满足一项得2分，最高得6分； 3.验收方案：按照评审标准，每完全满足一项得2分，最高得6分。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质量保障措施及服务承诺、安装调试等措施保障</w:t>
            </w:r>
          </w:p>
        </w:tc>
        <w:tc>
          <w:tcPr>
            <w:tcW w:type="dxa" w:w="2492"/>
          </w:tcPr>
          <w:p>
            <w:pPr>
              <w:pStyle w:val="null3"/>
            </w:pPr>
            <w:r>
              <w:rPr>
                <w:rFonts w:ascii="仿宋_GB2312" w:hAnsi="仿宋_GB2312" w:cs="仿宋_GB2312" w:eastAsia="仿宋_GB2312"/>
              </w:rPr>
              <w:t>一、根据项目实际需要，提供项目质量保障措施及服务承诺。方案内容包含但不限于：1.质量保障措施；2.服务承诺；3.安装调试措施保障。 二、评审标准 1.完整性：方案须详细全面，表述清晰完整，完全满足招标文件要求； 2.可实施性：切合本项目实际情况，提出步骤清晰、合理的方案； 3.针对性：方案能够紧扣项目实际情况，内容科学合理。 三、赋分标准（满分 18分） 1.质量保障措施：按照评审标准，每完全满足一项得2分，最高得6分； 2.服务承诺：按照评审标准，每完全满足一项得2分，最高得6分； 3.安装调试措施保障：按照评审标准，每完全满足一项得2分，最高得6分。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一、根据项目实际需要，提供售后服务方案。方案内容包含但不限于：1.质量保证措施；2.故障响应时效及发生故障后的补救措施；3.备品备件响应措施；4.维护保养。 二、评审标准 1.完整性：方案须详细全面，表述清晰完整，完全满足招标文件要求； 2.可实施性：切合本项目实际情况，提出步骤清晰、合理的方案； 3.针对性：方案能够紧扣项目实际情况，内容科学合理。 三、赋分标准（满分12 分） 1.质量保证措施：按照评审标准，每完全满足一项得1分，最高得3分； 2.故障响应时效及发生故障后的补救措施：按照评审标准，每完全满足一项得1分，最高得3分； 3.备品备件响应措施：按照评审标准，每完全满足一项得1分，最高得3分； 4.维护保养：按照评审标准，每完全满足一项得1分，最高得3分；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技术培训 方案</w:t>
            </w:r>
          </w:p>
        </w:tc>
        <w:tc>
          <w:tcPr>
            <w:tcW w:type="dxa" w:w="2492"/>
          </w:tcPr>
          <w:p>
            <w:pPr>
              <w:pStyle w:val="null3"/>
            </w:pPr>
            <w:r>
              <w:rPr>
                <w:rFonts w:ascii="仿宋_GB2312" w:hAnsi="仿宋_GB2312" w:cs="仿宋_GB2312" w:eastAsia="仿宋_GB2312"/>
              </w:rPr>
              <w:t>一、根据项目实际需要，提供技术培训方案。方案内容包含但不限于：1.车辆结构、部件的讲解培训；2.日常操作、保养、故障的排除、紧急情况的处理方案。 二、评审标准 1.完整性：方案须详细全面，表述清晰完整，完全满足招标文件要求； 2.可实施性：切合本项目实际情况，提出步骤清晰、合理的方案； 3.针对性：方案能够紧扣项目实际情况，内容科学合理。 三、赋分标准（满分 6 分） 1.车辆结构、部件的讲解培训：按照评审标准，每完全满足一项得1分，最高得3分； 2.车辆结构、部件的讲解培训：按照评审标准，每完全满足一项得1分，最高得3分；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提供2020年1月1日(以合同签订日期为准)至今类似项目业绩合同每提供一份业绩合同得2分，满分8分(响应文件中附业绩合同复印件加盖公章，内容须清晰可辨)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详见附件：技术参数应答表.docx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