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版本号：RH采字【20260102】-R号20260306001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实验室危险废物转移处置服务项目(二次)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RH采字【20260102】-R号</w:t>
      </w:r>
      <w:r>
        <w:br/>
      </w:r>
      <w:r>
        <w:br/>
      </w:r>
      <w:r>
        <w:br/>
      </w:r>
    </w:p>
    <w:p>
      <w:pPr>
        <w:pStyle w:val="null3"/>
        <w:jc w:val="center"/>
        <w:outlineLvl w:val="2"/>
      </w:pPr>
      <w:r>
        <w:rPr>
          <w:rFonts w:ascii="仿宋_GB2312" w:hAnsi="仿宋_GB2312" w:cs="仿宋_GB2312" w:eastAsia="仿宋_GB2312"/>
          <w:sz w:val="28"/>
          <w:b/>
        </w:rPr>
        <w:t>西北大学</w:t>
      </w:r>
    </w:p>
    <w:p>
      <w:pPr>
        <w:pStyle w:val="null3"/>
        <w:jc w:val="center"/>
        <w:outlineLvl w:val="2"/>
      </w:pPr>
      <w:r>
        <w:rPr>
          <w:rFonts w:ascii="仿宋_GB2312" w:hAnsi="仿宋_GB2312" w:cs="仿宋_GB2312" w:eastAsia="仿宋_GB2312"/>
          <w:sz w:val="28"/>
          <w:b/>
        </w:rPr>
        <w:t>瑞恒项目管理有限公司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2026年01月13日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瑞恒项目管理有限公司</w:t>
      </w:r>
      <w:r>
        <w:rPr>
          <w:rFonts w:ascii="仿宋_GB2312" w:hAnsi="仿宋_GB2312" w:cs="仿宋_GB2312" w:eastAsia="仿宋_GB2312"/>
        </w:rPr>
        <w:t>（以下简称“代理机构”）受</w:t>
      </w:r>
      <w:r>
        <w:rPr>
          <w:rFonts w:ascii="仿宋_GB2312" w:hAnsi="仿宋_GB2312" w:cs="仿宋_GB2312" w:eastAsia="仿宋_GB2312"/>
        </w:rPr>
        <w:t>西北大学</w:t>
      </w:r>
      <w:r>
        <w:rPr>
          <w:rFonts w:ascii="仿宋_GB2312" w:hAnsi="仿宋_GB2312" w:cs="仿宋_GB2312" w:eastAsia="仿宋_GB2312"/>
        </w:rPr>
        <w:t>委托，拟对</w:t>
      </w:r>
      <w:r>
        <w:rPr>
          <w:rFonts w:ascii="仿宋_GB2312" w:hAnsi="仿宋_GB2312" w:cs="仿宋_GB2312" w:eastAsia="仿宋_GB2312"/>
        </w:rPr>
        <w:t>实验室危险废物转移处置服务项目(二次)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RH采字【20260102】-R号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实验室危险废物转移处置服务项目(二次)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西北大学实验室危险废物转移处置服务项目（二次）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采购包1（实验室危险废物转移处置服务项目）：属于专门面向中小企业采购。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法人提供经审计的2024或2025年度财务报告（成立时间至响应文件递交截止时间不足一年的可提供成立后任意时段的资产负债表）或响应文件递交截止时间前六个月内银行出具的资信证明；其他组织和自然人提供银行出具的资信证明或财务报表。注：①提供财务报告的，内容至少包括审计报告、附注。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有依法缴纳税收的良好记录：法人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p>
      <w:pPr>
        <w:pStyle w:val="null3"/>
      </w:pPr>
      <w:r>
        <w:rPr>
          <w:rFonts w:ascii="仿宋_GB2312" w:hAnsi="仿宋_GB2312" w:cs="仿宋_GB2312" w:eastAsia="仿宋_GB2312"/>
        </w:rPr>
        <w:t>4、有依法缴纳社会保障资金的良好记录：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7、法定代表人授权书、法定代表人身份证明合格：提供合格的法定代表人授权书（附法定代表人、被授权人身份证复印件）或法定代表人身份证明（法定代表人直接参加的）。</w:t>
      </w:r>
    </w:p>
    <w:p>
      <w:pPr>
        <w:pStyle w:val="null3"/>
      </w:pPr>
      <w:r>
        <w:rPr>
          <w:rFonts w:ascii="仿宋_GB2312" w:hAnsi="仿宋_GB2312" w:cs="仿宋_GB2312" w:eastAsia="仿宋_GB2312"/>
        </w:rPr>
        <w:t>8、信用承诺：提供未被“信用中国”网站（www.creditchina.gov.cn）列入失信被执行人或重大税收违法失信主体名单，未被财政部门在中国政府采购网（www.ccgp.gov.cn）政府采购严重违法失信行为记录名单中禁止参加政府采购活动的承诺。</w:t>
      </w:r>
    </w:p>
    <w:p>
      <w:pPr>
        <w:pStyle w:val="null3"/>
      </w:pPr>
      <w:r>
        <w:rPr>
          <w:rFonts w:ascii="仿宋_GB2312" w:hAnsi="仿宋_GB2312" w:cs="仿宋_GB2312" w:eastAsia="仿宋_GB2312"/>
        </w:rPr>
        <w:t>9、供应商资质：供应商须具备《危险废物经营许可证》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西北大学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西安市长安区郭杜教育科技产业区学府大道1号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029-88302595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石雨鑫、张丰利、刘菲、王倩倩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15091632950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开户名称：瑞恒项目管理有限公司</w:t>
            </w:r>
          </w:p>
          <w:p>
            <w:pPr>
              <w:pStyle w:val="null3"/>
            </w:pPr>
            <w:r>
              <w:rPr>
                <w:rFonts w:ascii="仿宋_GB2312" w:hAnsi="仿宋_GB2312" w:cs="仿宋_GB2312" w:eastAsia="仿宋_GB2312"/>
              </w:rPr>
              <w:t>开户银行：工行西安城南科技支行</w:t>
            </w:r>
          </w:p>
          <w:p>
            <w:pPr>
              <w:pStyle w:val="null3"/>
            </w:pPr>
            <w:r>
              <w:rPr>
                <w:rFonts w:ascii="仿宋_GB2312" w:hAnsi="仿宋_GB2312" w:cs="仿宋_GB2312" w:eastAsia="仿宋_GB2312"/>
              </w:rPr>
              <w:t>银行账号：3700024819200044620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说明：成交供应商在与采购人签订合同前，须缴纳履约保证金；履约保证金金额为成交金额的5%。 缴纳方式：银行转账、支票/汇票/本票、保函/保险； 说明：成交供应商于合同签订前缴纳，缴纳金额为合同金额的5%。 缴纳方式：银行转账、支票/汇票/本票、保函/保险；履约保证金汇款账户： 户 名：西北大学 开户银行：交通银行太白路支行 账 号：611301015018001145006 履约保证金缴纳后，可持银行回执到西北大学换取收据。退还方式：待验收合格后凭收据和验收单复印件无息退还。 如遇下列情况之一者，合同履约保证金不予退还，作为对采购人的赔偿： （1）合同签订后不能按合同时限要求提供服务的； （2）所提供的服务与合同不符或验收不合格的； （3）不能按合同履约的。</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采购代理服务收费管理暂行办法的通知》（计价格[2002]1980号）及《国家发展改革委办公厅关于招标代理服务收费有关问题的通知》（发改办价格[2003]857号）规定的收费标准下浮20%收取。户名：瑞恒项目管理有限公司 开户行：工行西安城南科技支行 账号：3700024819200044620。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西北大学</w:t>
      </w:r>
      <w:r>
        <w:rPr>
          <w:rFonts w:ascii="仿宋_GB2312" w:hAnsi="仿宋_GB2312" w:cs="仿宋_GB2312" w:eastAsia="仿宋_GB2312"/>
        </w:rPr>
        <w:t>和</w:t>
      </w:r>
      <w:r>
        <w:rPr>
          <w:rFonts w:ascii="仿宋_GB2312" w:hAnsi="仿宋_GB2312" w:cs="仿宋_GB2312" w:eastAsia="仿宋_GB2312"/>
        </w:rPr>
        <w:t>瑞恒项目管理有限公司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西北大学</w:t>
      </w:r>
      <w:r>
        <w:rPr>
          <w:rFonts w:ascii="仿宋_GB2312" w:hAnsi="仿宋_GB2312" w:cs="仿宋_GB2312" w:eastAsia="仿宋_GB2312"/>
        </w:rPr>
        <w:t>负责解释。除上述磋商文件内容，其他内容由</w:t>
      </w:r>
      <w:r>
        <w:rPr>
          <w:rFonts w:ascii="仿宋_GB2312" w:hAnsi="仿宋_GB2312" w:cs="仿宋_GB2312" w:eastAsia="仿宋_GB2312"/>
        </w:rPr>
        <w:t>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西北大学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瑞恒项目管理有限公司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联系人：石雨鑫、张丰利、刘菲、王倩倩</w:t>
      </w:r>
    </w:p>
    <w:p>
      <w:pPr>
        <w:pStyle w:val="null3"/>
      </w:pPr>
      <w:r>
        <w:rPr>
          <w:rFonts w:ascii="仿宋_GB2312" w:hAnsi="仿宋_GB2312" w:cs="仿宋_GB2312" w:eastAsia="仿宋_GB2312"/>
        </w:rPr>
        <w:t>联系电话：15091632950</w:t>
      </w:r>
    </w:p>
    <w:p>
      <w:pPr>
        <w:pStyle w:val="null3"/>
      </w:pPr>
      <w:r>
        <w:rPr>
          <w:rFonts w:ascii="仿宋_GB2312" w:hAnsi="仿宋_GB2312" w:cs="仿宋_GB2312" w:eastAsia="仿宋_GB2312"/>
        </w:rPr>
        <w:t>地址：陕西省西安市曲江新区雁翔路3269号旺座曲江D座30层3001号</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西北大学实验室危险废物转移处置服务项目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实验室危险废物转移处置服务项目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标的名称：实验室危险废物转移处置服务项目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rPr>
              <w:t>一、采购标的需实现的功能或者目标</w:t>
            </w:r>
          </w:p>
          <w:p>
            <w:pPr>
              <w:pStyle w:val="null3"/>
              <w:jc w:val="left"/>
            </w:pPr>
            <w:r>
              <w:rPr>
                <w:rFonts w:ascii="仿宋_GB2312" w:hAnsi="仿宋_GB2312" w:cs="仿宋_GB2312" w:eastAsia="仿宋_GB2312"/>
                <w:sz w:val="20"/>
              </w:rPr>
              <w:t>1.根据《中华人民共和国固体废物污染环境防治法》以及其他环境保护法律法规有关要求，对学校实验室在运行过程中产生的危险废弃物（成分主要是《国家危险废物名录》中类别为“其他废物”中的2类：900-041-49、900-047-49）进行转移、处置，做到去向合规、资质齐全，确保来源可查、去向可追、责任可究。</w:t>
            </w:r>
          </w:p>
          <w:p>
            <w:pPr>
              <w:pStyle w:val="null3"/>
              <w:jc w:val="left"/>
            </w:pPr>
            <w:r>
              <w:rPr>
                <w:rFonts w:ascii="仿宋_GB2312" w:hAnsi="仿宋_GB2312" w:cs="仿宋_GB2312" w:eastAsia="仿宋_GB2312"/>
                <w:sz w:val="20"/>
              </w:rPr>
              <w:t>2.按国家与地方标准实施焚烧、物化、固化等处置，尾气、渗滤液、残渣等达标排放；具备条件的按规范开展资源化利用，降低环境影响。</w:t>
            </w:r>
          </w:p>
          <w:p>
            <w:pPr>
              <w:pStyle w:val="null3"/>
              <w:jc w:val="left"/>
            </w:pPr>
            <w:r>
              <w:rPr>
                <w:rFonts w:ascii="仿宋_GB2312" w:hAnsi="仿宋_GB2312" w:cs="仿宋_GB2312" w:eastAsia="仿宋_GB2312"/>
                <w:sz w:val="20"/>
              </w:rPr>
              <w:t>3.保障实验室危废“即产即清”或按期清零，消除校园存量风险；配合学校暂存、分类、台账管理，为教学科研提供稳定支撑。</w:t>
            </w:r>
          </w:p>
          <w:p>
            <w:pPr>
              <w:pStyle w:val="null3"/>
              <w:jc w:val="both"/>
            </w:pPr>
            <w:r>
              <w:rPr>
                <w:rFonts w:ascii="仿宋_GB2312" w:hAnsi="仿宋_GB2312" w:cs="仿宋_GB2312" w:eastAsia="仿宋_GB2312"/>
                <w:sz w:val="20"/>
              </w:rPr>
              <w:t>4.按期完成年度处置量（约150余吨），响应及时、台账清晰、验收合格；具备突发泄漏、火灾等应急处置能力，配合学校进行安全应急演练等。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0"/>
                <w:b/>
              </w:rPr>
              <w:t>二、</w:t>
            </w:r>
            <w:r>
              <w:rPr>
                <w:rFonts w:ascii="仿宋_GB2312" w:hAnsi="仿宋_GB2312" w:cs="仿宋_GB2312" w:eastAsia="仿宋_GB2312"/>
                <w:sz w:val="20"/>
                <w:b/>
              </w:rPr>
              <w:t>服务要求：</w:t>
            </w:r>
          </w:p>
          <w:p>
            <w:pPr>
              <w:pStyle w:val="null3"/>
              <w:jc w:val="left"/>
            </w:pPr>
            <w:r>
              <w:rPr>
                <w:rFonts w:ascii="仿宋_GB2312" w:hAnsi="仿宋_GB2312" w:cs="仿宋_GB2312" w:eastAsia="仿宋_GB2312"/>
                <w:sz w:val="20"/>
              </w:rPr>
              <w:t>1.供应商须持有环保部门颁发的《危险废物经营许可证》，核准经营范围包含HW49类危险废物中的900-041-49、900-047-49这2类，并且许可证书在有效期内。</w:t>
            </w:r>
          </w:p>
          <w:p>
            <w:pPr>
              <w:pStyle w:val="null3"/>
              <w:jc w:val="both"/>
            </w:pPr>
            <w:r>
              <w:rPr>
                <w:rFonts w:ascii="仿宋_GB2312" w:hAnsi="仿宋_GB2312" w:cs="仿宋_GB2312" w:eastAsia="仿宋_GB2312"/>
                <w:sz w:val="20"/>
              </w:rPr>
              <w:t>2.供应商保证各项处理处置条件和设施符合国家法律法规对处理处置危险废物的技术要求。危险废物的转移必须严格按照《危险废物转移联单》相关要求进行。由供应商自备车辆负责危险废物的运输，运输方具有《中华人民共和国道路运输经营许可证》，核准经营范围包含危险废物，且许可证书在有效期内。提供危险废液暂存桶以及固废的包装袋/箱，保证派来接收危险废物的人员具备法律法规和相应资质，并在运输和处理处置过程中，不产生对环境的污染，否则承担因此产生的法律责任。</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0"/>
                <w:b/>
              </w:rPr>
              <w:t>三、</w:t>
            </w:r>
            <w:r>
              <w:rPr>
                <w:rFonts w:ascii="仿宋_GB2312" w:hAnsi="仿宋_GB2312" w:cs="仿宋_GB2312" w:eastAsia="仿宋_GB2312"/>
                <w:sz w:val="20"/>
                <w:b/>
              </w:rPr>
              <w:t>服务</w:t>
            </w:r>
            <w:r>
              <w:rPr>
                <w:rFonts w:ascii="仿宋_GB2312" w:hAnsi="仿宋_GB2312" w:cs="仿宋_GB2312" w:eastAsia="仿宋_GB2312"/>
                <w:sz w:val="20"/>
                <w:b/>
              </w:rPr>
              <w:t>标准</w:t>
            </w:r>
            <w:r>
              <w:rPr>
                <w:rFonts w:ascii="仿宋_GB2312" w:hAnsi="仿宋_GB2312" w:cs="仿宋_GB2312" w:eastAsia="仿宋_GB2312"/>
                <w:sz w:val="20"/>
                <w:b/>
              </w:rPr>
              <w:t>：</w:t>
            </w:r>
          </w:p>
          <w:p>
            <w:pPr>
              <w:pStyle w:val="null3"/>
              <w:jc w:val="left"/>
            </w:pPr>
            <w:r>
              <w:rPr>
                <w:rFonts w:ascii="仿宋_GB2312" w:hAnsi="仿宋_GB2312" w:cs="仿宋_GB2312" w:eastAsia="仿宋_GB2312"/>
                <w:sz w:val="20"/>
              </w:rPr>
              <w:t>1.供应商收运车辆以及工作人员，应在招标单位内文明作业，作业完毕后将其作业范围清理干净，并遵守相关环境以及安全管理规定。供应商工作人员在校区内作业过程中因自身原因产生的安全事故由供应商负责。</w:t>
            </w:r>
          </w:p>
          <w:p>
            <w:pPr>
              <w:pStyle w:val="null3"/>
              <w:jc w:val="both"/>
            </w:pPr>
            <w:r>
              <w:rPr>
                <w:rFonts w:ascii="仿宋_GB2312" w:hAnsi="仿宋_GB2312" w:cs="仿宋_GB2312" w:eastAsia="仿宋_GB2312"/>
                <w:sz w:val="20"/>
              </w:rPr>
              <w:t>2.供应商每月至少2次对采购人实验室危险废物进行转移处置，如采购人因特殊原因需临时增加转移处置次数，供应商也必须及时响应。每次转移处置，供应商不得无故拒收、超期分拣转运，由此造成的损失由供应商承担；合同有效期内因供应商原因导致无法及时响应危险废物转移处置要求或无法继续履行合同，采购人可解除合同，因此产生的责任或造成的损失由供应商承担。</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0"/>
                <w:b/>
              </w:rPr>
              <w:t>四、</w:t>
            </w:r>
            <w:r>
              <w:rPr>
                <w:rFonts w:ascii="仿宋_GB2312" w:hAnsi="仿宋_GB2312" w:cs="仿宋_GB2312" w:eastAsia="仿宋_GB2312"/>
                <w:sz w:val="20"/>
                <w:b/>
              </w:rPr>
              <w:t>服务期限：</w:t>
            </w:r>
          </w:p>
          <w:p>
            <w:pPr>
              <w:pStyle w:val="null3"/>
              <w:jc w:val="both"/>
            </w:pPr>
            <w:r>
              <w:rPr>
                <w:rFonts w:ascii="仿宋_GB2312" w:hAnsi="仿宋_GB2312" w:cs="仿宋_GB2312" w:eastAsia="仿宋_GB2312"/>
                <w:sz w:val="20"/>
              </w:rPr>
              <w:t>自合同签订之日起</w:t>
            </w:r>
            <w:r>
              <w:rPr>
                <w:rFonts w:ascii="仿宋_GB2312" w:hAnsi="仿宋_GB2312" w:cs="仿宋_GB2312" w:eastAsia="仿宋_GB2312"/>
                <w:sz w:val="20"/>
              </w:rPr>
              <w:t>365日，时间地点由采购人指定。合同期满前，采购人对</w:t>
            </w:r>
            <w:r>
              <w:rPr>
                <w:rFonts w:ascii="仿宋_GB2312" w:hAnsi="仿宋_GB2312" w:cs="仿宋_GB2312" w:eastAsia="仿宋_GB2312"/>
                <w:sz w:val="20"/>
              </w:rPr>
              <w:t>供应商</w:t>
            </w:r>
            <w:r>
              <w:rPr>
                <w:rFonts w:ascii="仿宋_GB2312" w:hAnsi="仿宋_GB2312" w:cs="仿宋_GB2312" w:eastAsia="仿宋_GB2312"/>
                <w:sz w:val="20"/>
              </w:rPr>
              <w:t>进行考核，根据服务满意程度决定是否续签，累计合同履行期限不超过</w:t>
            </w:r>
            <w:r>
              <w:rPr>
                <w:rFonts w:ascii="仿宋_GB2312" w:hAnsi="仿宋_GB2312" w:cs="仿宋_GB2312" w:eastAsia="仿宋_GB2312"/>
                <w:sz w:val="20"/>
              </w:rPr>
              <w:t>3年。</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0"/>
                <w:b/>
              </w:rPr>
              <w:t>五、服务人员数量及组成</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0"/>
              </w:rPr>
              <w:t>供应商每次转移需至少派收运车辆司机</w:t>
            </w:r>
            <w:r>
              <w:rPr>
                <w:rFonts w:ascii="仿宋_GB2312" w:hAnsi="仿宋_GB2312" w:cs="仿宋_GB2312" w:eastAsia="仿宋_GB2312"/>
                <w:sz w:val="20"/>
              </w:rPr>
              <w:t>1</w:t>
            </w:r>
            <w:r>
              <w:rPr>
                <w:rFonts w:ascii="仿宋_GB2312" w:hAnsi="仿宋_GB2312" w:cs="仿宋_GB2312" w:eastAsia="仿宋_GB2312"/>
                <w:sz w:val="20"/>
              </w:rPr>
              <w:t>名以及装卸工作人员</w:t>
            </w:r>
            <w:r>
              <w:rPr>
                <w:rFonts w:ascii="仿宋_GB2312" w:hAnsi="仿宋_GB2312" w:cs="仿宋_GB2312" w:eastAsia="仿宋_GB2312"/>
                <w:sz w:val="20"/>
              </w:rPr>
              <w:t>1-2</w:t>
            </w:r>
            <w:r>
              <w:rPr>
                <w:rFonts w:ascii="仿宋_GB2312" w:hAnsi="仿宋_GB2312" w:cs="仿宋_GB2312" w:eastAsia="仿宋_GB2312"/>
                <w:sz w:val="20"/>
              </w:rPr>
              <w:t>名。</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0"/>
                <w:b/>
              </w:rPr>
              <w:t>六、最高限价（单价）及响应报价</w:t>
            </w:r>
            <w:r>
              <w:rPr>
                <w:rFonts w:ascii="仿宋_GB2312" w:hAnsi="仿宋_GB2312" w:cs="仿宋_GB2312" w:eastAsia="仿宋_GB2312"/>
                <w:sz w:val="20"/>
                <w:b/>
              </w:rPr>
              <w:t>：</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单价最高限价：</w:t>
            </w:r>
            <w:r>
              <w:rPr>
                <w:rFonts w:ascii="仿宋_GB2312" w:hAnsi="仿宋_GB2312" w:cs="仿宋_GB2312" w:eastAsia="仿宋_GB2312"/>
                <w:sz w:val="20"/>
              </w:rPr>
              <w:t>900-041-49</w:t>
            </w:r>
            <w:r>
              <w:rPr>
                <w:rFonts w:ascii="仿宋_GB2312" w:hAnsi="仿宋_GB2312" w:cs="仿宋_GB2312" w:eastAsia="仿宋_GB2312"/>
                <w:sz w:val="20"/>
              </w:rPr>
              <w:t>类</w:t>
            </w:r>
            <w:r>
              <w:rPr>
                <w:rFonts w:ascii="仿宋_GB2312" w:hAnsi="仿宋_GB2312" w:cs="仿宋_GB2312" w:eastAsia="仿宋_GB2312"/>
                <w:sz w:val="20"/>
              </w:rPr>
              <w:t>6</w:t>
            </w:r>
            <w:r>
              <w:rPr>
                <w:rFonts w:ascii="仿宋_GB2312" w:hAnsi="仿宋_GB2312" w:cs="仿宋_GB2312" w:eastAsia="仿宋_GB2312"/>
                <w:sz w:val="20"/>
              </w:rPr>
              <w:t>元</w:t>
            </w:r>
            <w:r>
              <w:rPr>
                <w:rFonts w:ascii="仿宋_GB2312" w:hAnsi="仿宋_GB2312" w:cs="仿宋_GB2312" w:eastAsia="仿宋_GB2312"/>
                <w:sz w:val="20"/>
              </w:rPr>
              <w:t>/kg</w:t>
            </w:r>
            <w:r>
              <w:rPr>
                <w:rFonts w:ascii="仿宋_GB2312" w:hAnsi="仿宋_GB2312" w:cs="仿宋_GB2312" w:eastAsia="仿宋_GB2312"/>
                <w:sz w:val="20"/>
              </w:rPr>
              <w:t>；</w:t>
            </w:r>
            <w:r>
              <w:rPr>
                <w:rFonts w:ascii="仿宋_GB2312" w:hAnsi="仿宋_GB2312" w:cs="仿宋_GB2312" w:eastAsia="仿宋_GB2312"/>
                <w:sz w:val="20"/>
              </w:rPr>
              <w:t>900-047-49</w:t>
            </w:r>
            <w:r>
              <w:rPr>
                <w:rFonts w:ascii="仿宋_GB2312" w:hAnsi="仿宋_GB2312" w:cs="仿宋_GB2312" w:eastAsia="仿宋_GB2312"/>
                <w:sz w:val="20"/>
              </w:rPr>
              <w:t>类</w:t>
            </w:r>
            <w:r>
              <w:rPr>
                <w:rFonts w:ascii="仿宋_GB2312" w:hAnsi="仿宋_GB2312" w:cs="仿宋_GB2312" w:eastAsia="仿宋_GB2312"/>
                <w:sz w:val="20"/>
              </w:rPr>
              <w:t>8</w:t>
            </w:r>
            <w:r>
              <w:rPr>
                <w:rFonts w:ascii="仿宋_GB2312" w:hAnsi="仿宋_GB2312" w:cs="仿宋_GB2312" w:eastAsia="仿宋_GB2312"/>
                <w:sz w:val="20"/>
              </w:rPr>
              <w:t>元</w:t>
            </w:r>
            <w:r>
              <w:rPr>
                <w:rFonts w:ascii="仿宋_GB2312" w:hAnsi="仿宋_GB2312" w:cs="仿宋_GB2312" w:eastAsia="仿宋_GB2312"/>
                <w:sz w:val="20"/>
              </w:rPr>
              <w:t>/kg</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计价方式：本项目固定综合单价，磋商投报综合单价应包括危险废物收集费、装运费、处理处置费、管理费、服务费、税金等一切费用。供应商根据采购文件所提供的资料自行测算自主报价。成交后，磋商单价作为供应商与采购人签定的合同单价，合同期限内不做调整，且总价不得超过项目预算金额。处置数量以服务期内实验室危险废物转移处置实际核算量为准。</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报价要求：本项目以上述两个品类各自的最高限价（单价）为基准价，供应商投报统一综合折扣，两个品类各自的成交综合单价</w:t>
            </w:r>
            <w:r>
              <w:rPr>
                <w:rFonts w:ascii="仿宋_GB2312" w:hAnsi="仿宋_GB2312" w:cs="仿宋_GB2312" w:eastAsia="仿宋_GB2312"/>
                <w:sz w:val="20"/>
              </w:rPr>
              <w:t>=</w:t>
            </w:r>
            <w:r>
              <w:rPr>
                <w:rFonts w:ascii="仿宋_GB2312" w:hAnsi="仿宋_GB2312" w:cs="仿宋_GB2312" w:eastAsia="仿宋_GB2312"/>
                <w:sz w:val="20"/>
              </w:rPr>
              <w:t>综合折扣</w:t>
            </w:r>
            <w:r>
              <w:rPr>
                <w:rFonts w:ascii="仿宋_GB2312" w:hAnsi="仿宋_GB2312" w:cs="仿宋_GB2312" w:eastAsia="仿宋_GB2312"/>
                <w:sz w:val="20"/>
              </w:rPr>
              <w:t>*</w:t>
            </w:r>
            <w:r>
              <w:rPr>
                <w:rFonts w:ascii="仿宋_GB2312" w:hAnsi="仿宋_GB2312" w:cs="仿宋_GB2312" w:eastAsia="仿宋_GB2312"/>
                <w:sz w:val="20"/>
              </w:rPr>
              <w:t>基准价。</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自合同签订之日起365天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西北大学太白校区、长安校区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乙方保证在对实验室危险废物进行转移处置时须符合中华人民共和国关于危险废物处置的相关要求标准及技术规范、本次采购相关文件中的全部相关要求及乙方相关服务标准及相应的技术规范中之较高者。 （2）验收组织。甲方负责按规定组织验收工作并出具验收书，涉及向学校师生提供的公共服务项目，验收时须邀请服务对象参与并出具意见。</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生效后，甲方以3个月为周期向乙方支付费用（寒暑假除外），每3个月服务期结束后的下一月5日前乙方开具全额发票给甲方，甲方收到发票后于15个工作日内支付服务费（如遇法定公休节假日顺延）（以此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服务不符合其投标承诺，存在偷工减料、以次充好情形的，采购人要求更换一次后仍不符合约定的，采购人有权解除采购合同，没收履约保证金，并将有关情况上报政府采购监管部门处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①为顺利推进政府采购电子化交易平台应用工作，供应商需要在线提交所有通过电子化交易平台实施的政府采购项目的响应文件，同时，线下提交纸质响应文件正本壹份、副本贰份。②纸质响应文件正、副本分别胶装，标明供应商名称密封递交，递交截止时间同在线递交电子响应文件截止时间一致，递交地址：陕西省西安市曲江新区雁翔路3269号旺座曲江D座30层3001号（纸质响应文件可邮寄，邮件发出时间应在递交电子响应文件截止时间之前，邮寄地址：陕西省西安市曲江新区雁翔路3269号旺座曲江D座30层3001号，联系人：王工，联系电话：15091632950）。③若电子响应文件与纸质响应文件不一致的，以电子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经审计的2024或2025年度财务报告（成立时间至响应文件递交截止时间不足一年的可提供成立后任意时段的资产负债表）或响应文件递交截止时间前六个月内银行出具的资信证明；其他组织和自然人提供银行出具的资信证明或财务报表。注：①提供财务报告的，内容至少包括审计报告、附注。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法人提供经审计的2024或2025年度财务报告（成立时间至响应文件递交截止时间不足一年的可提供成立后任意时段的资产负债表）或响应文件递交截止时间前六个月内银行出具的资信证明；其他组织和自然人提供银行出具的资信证明或财务报表。注：①提供财务报告的，内容至少包括审计报告、附注。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法人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提供合格的法定代表人授权书（附法定代表人、被授权人身份证复印件）或法定代表人身份证明（法定代表人直接参加的）。</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失信被执行人或重大税收违法失信主体名单，未被财政部门在中国政府采购网（www.ccgp.gov.cn）政府采购严重违法失信行为记录名单中禁止参加政府采购活动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供应商须具备《危险废物经营许可证》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供应商名称与营业执照一致（合格）供应商名称与营业执照不一致（不合格）</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响应文件按采购文件要求的数量、计量单位、报价货币及签字盖章</w:t>
            </w:r>
          </w:p>
        </w:tc>
        <w:tc>
          <w:tcPr>
            <w:tcW w:type="dxa" w:w="3322"/>
          </w:tcPr>
          <w:p>
            <w:pPr>
              <w:pStyle w:val="null3"/>
            </w:pPr>
            <w:r>
              <w:rPr>
                <w:rFonts w:ascii="仿宋_GB2312" w:hAnsi="仿宋_GB2312" w:cs="仿宋_GB2312" w:eastAsia="仿宋_GB2312"/>
              </w:rPr>
              <w:t>响应文件按采购文件要求的数量、计量单位、报价货币及签字盖章（合格）响应文件未按采购文件要求的数量、计量单位、报价货币及签字盖章（不合格）</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响应有效期满足采购文件要求</w:t>
            </w:r>
          </w:p>
        </w:tc>
        <w:tc>
          <w:tcPr>
            <w:tcW w:type="dxa" w:w="3322"/>
          </w:tcPr>
          <w:p>
            <w:pPr>
              <w:pStyle w:val="null3"/>
            </w:pPr>
            <w:r>
              <w:rPr>
                <w:rFonts w:ascii="仿宋_GB2312" w:hAnsi="仿宋_GB2312" w:cs="仿宋_GB2312" w:eastAsia="仿宋_GB2312"/>
              </w:rPr>
              <w:t>响应有效期满足采购文件要求（合格）响应有效期不满足采购文件要求（不合格）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技术、商务响应满足实质性要求</w:t>
            </w:r>
          </w:p>
        </w:tc>
        <w:tc>
          <w:tcPr>
            <w:tcW w:type="dxa" w:w="3322"/>
          </w:tcPr>
          <w:p>
            <w:pPr>
              <w:pStyle w:val="null3"/>
            </w:pPr>
            <w:r>
              <w:rPr>
                <w:rFonts w:ascii="仿宋_GB2312" w:hAnsi="仿宋_GB2312" w:cs="仿宋_GB2312" w:eastAsia="仿宋_GB2312"/>
              </w:rPr>
              <w:t>技术响应满足第三章3.2.2服务要求中标注“★”要求（合格），任意一条不满足（不合格）。商务响应满足第三章3.3商务要求（合格），任意一条不满足（不合格）。</w:t>
            </w:r>
          </w:p>
        </w:tc>
        <w:tc>
          <w:tcPr>
            <w:tcW w:type="dxa" w:w="1661"/>
          </w:tcPr>
          <w:p>
            <w:pPr>
              <w:pStyle w:val="null3"/>
            </w:pPr>
            <w:r>
              <w:rPr>
                <w:rFonts w:ascii="仿宋_GB2312" w:hAnsi="仿宋_GB2312" w:cs="仿宋_GB2312" w:eastAsia="仿宋_GB2312"/>
              </w:rPr>
              <w:t>响应文件封面 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符合法律、法规和采购文件中规定的其他实质性要求</w:t>
            </w:r>
          </w:p>
        </w:tc>
        <w:tc>
          <w:tcPr>
            <w:tcW w:type="dxa" w:w="3322"/>
          </w:tcPr>
          <w:p>
            <w:pPr>
              <w:pStyle w:val="null3"/>
            </w:pPr>
            <w:r>
              <w:rPr>
                <w:rFonts w:ascii="仿宋_GB2312" w:hAnsi="仿宋_GB2312" w:cs="仿宋_GB2312" w:eastAsia="仿宋_GB2312"/>
              </w:rPr>
              <w:t>符合法律、法规和采购文件中规定的其他实质性要求（合格）不符合法律、法规和采购文件中规定的其他实质性要求（不合格）</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服务响应</w:t>
            </w:r>
          </w:p>
        </w:tc>
        <w:tc>
          <w:tcPr>
            <w:tcW w:type="dxa" w:w="2492"/>
          </w:tcPr>
          <w:p>
            <w:pPr>
              <w:pStyle w:val="null3"/>
            </w:pPr>
            <w:r>
              <w:rPr>
                <w:rFonts w:ascii="仿宋_GB2312" w:hAnsi="仿宋_GB2312" w:cs="仿宋_GB2312" w:eastAsia="仿宋_GB2312"/>
              </w:rPr>
              <w:t>供应商服务响应完全满足采购文件第三章“磋商项目技术、服务、商务及其他要求”第3.2.2条“服务要求”中非标注“★”所列内容，没有负偏离的计5分，每有一项负偏离扣1分，扣完为止。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服务响应.docx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供应商结合项目采购需求，提供项目实施方案，需全面覆盖高校实验室危险废物转移处置全流程各关键环节，充分契合项目需求特点，符合国家、陕西省及西安市关于危险废物收集、运输、贮存、处置的相关法律法规及环保标准要求。 二、评审标准 1、完整性：方案须全面，对评审内容中的各项要求描述详细； 2、可实施性：切合本项目实际情况，实施步骤清晰、合理； 3、针对性：方案能够紧扣项目实际情况，内容科学合理。 三、赋分依据 每完全满足一个评审标准得2分，基本满足得1分，不能满足或未提供的不得分，满分6分。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处置方案</w:t>
            </w:r>
          </w:p>
        </w:tc>
        <w:tc>
          <w:tcPr>
            <w:tcW w:type="dxa" w:w="2492"/>
          </w:tcPr>
          <w:p>
            <w:pPr>
              <w:pStyle w:val="null3"/>
            </w:pPr>
            <w:r>
              <w:rPr>
                <w:rFonts w:ascii="仿宋_GB2312" w:hAnsi="仿宋_GB2312" w:cs="仿宋_GB2312" w:eastAsia="仿宋_GB2312"/>
              </w:rPr>
              <w:t>一、评审内容 供应商结合项目采购需求，提供处置方案。内容包含：①处置方案覆盖范围、品类②处置工艺与设备③环保达标措施。 二、评审标准 1、完整性：方案须全面，对评审内容中的各项要求描述详细； 2、可实施性：切合本项目实际情况，实施步骤清晰、合理； 3、针对性：方案能够紧扣项目实际情况，内容科学合理。 三、赋分依据 ①处置方案覆盖范围、品类：每完全满足一个评审标准得1分，基本满足得0.5分，不能满足或未提供的不得分，满分3分。 ②处置工艺与设备：每完全满足一个评审标准得1分，基本满足得0.5分，不能满足或未提供的不得分，满分3分。 ③环保达标措施：每完全满足一个评审标准得1分，基本满足得0.5分，不能满足或未提供的不得分，满分3分。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处置方案.docx</w:t>
            </w:r>
          </w:p>
        </w:tc>
      </w:tr>
      <w:tr>
        <w:tc>
          <w:tcPr>
            <w:tcW w:type="dxa" w:w="831"/>
            <w:vMerge/>
          </w:tcPr>
          <w:p/>
        </w:tc>
        <w:tc>
          <w:tcPr>
            <w:tcW w:type="dxa" w:w="1661"/>
          </w:tcPr>
          <w:p>
            <w:pPr>
              <w:pStyle w:val="null3"/>
            </w:pPr>
            <w:r>
              <w:rPr>
                <w:rFonts w:ascii="仿宋_GB2312" w:hAnsi="仿宋_GB2312" w:cs="仿宋_GB2312" w:eastAsia="仿宋_GB2312"/>
              </w:rPr>
              <w:t>运输流程方案</w:t>
            </w:r>
          </w:p>
        </w:tc>
        <w:tc>
          <w:tcPr>
            <w:tcW w:type="dxa" w:w="2492"/>
          </w:tcPr>
          <w:p>
            <w:pPr>
              <w:pStyle w:val="null3"/>
            </w:pPr>
            <w:r>
              <w:rPr>
                <w:rFonts w:ascii="仿宋_GB2312" w:hAnsi="仿宋_GB2312" w:cs="仿宋_GB2312" w:eastAsia="仿宋_GB2312"/>
              </w:rPr>
              <w:t>一、评审内容 供应商结合项目采购需求，提供运输流程方案。内容包含：①运输方式②校内转运路线、上门收集服务方案③包装与装卸方案④对周边环境影响控制方案。 二、评审标准 1、完整性：方案须全面，对评审内容中的各项要求描述详细； 2、可实施性：切合本项目实际情况，实施步骤清晰、合理； 3、针对性：方案能够紧扣项目实际情况，内容科学合理。 三、赋分依据 ①运输方式：每完全满足一个评审标准得1分，基本满足得0.5分，不能满足或未提供的不得分，满分3分。 ②校内转运路线、上门收集服务方案：每完全满足一个评审标准得1分，基本满足得0.5分，不能满足或未提供的不得分，满分3分。 ③包装与装卸方案：每完全满足一个评审标准得1分，基本满足得0.5分，不能满足或未提供的不得分，满分3分。 ④对周边环境影响控制方案：每完全满足一个评审标准得1分，基本满足得0.5分，不能满足或未提供的不得分，满分3分。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运输流程方案.docx</w:t>
            </w:r>
          </w:p>
        </w:tc>
      </w:tr>
      <w:tr>
        <w:tc>
          <w:tcPr>
            <w:tcW w:type="dxa" w:w="831"/>
            <w:vMerge/>
          </w:tcPr>
          <w:p/>
        </w:tc>
        <w:tc>
          <w:tcPr>
            <w:tcW w:type="dxa" w:w="1661"/>
          </w:tcPr>
          <w:p>
            <w:pPr>
              <w:pStyle w:val="null3"/>
            </w:pPr>
            <w:r>
              <w:rPr>
                <w:rFonts w:ascii="仿宋_GB2312" w:hAnsi="仿宋_GB2312" w:cs="仿宋_GB2312" w:eastAsia="仿宋_GB2312"/>
              </w:rPr>
              <w:t>应急管理方案</w:t>
            </w:r>
          </w:p>
        </w:tc>
        <w:tc>
          <w:tcPr>
            <w:tcW w:type="dxa" w:w="2492"/>
          </w:tcPr>
          <w:p>
            <w:pPr>
              <w:pStyle w:val="null3"/>
            </w:pPr>
            <w:r>
              <w:rPr>
                <w:rFonts w:ascii="仿宋_GB2312" w:hAnsi="仿宋_GB2312" w:cs="仿宋_GB2312" w:eastAsia="仿宋_GB2312"/>
              </w:rPr>
              <w:t>一、评审内容 供应商结合项目采购需求，提供应急管理方案。内容包含：①应急方案②应急响应流程③应急物资与人员配备。 二、评审标准 1、完整性：方案须全面，对评审内容中的各项要求描述详细； 2、可实施性：切合本项目实际情况，实施步骤清晰、合理； 3、针对性：方案能够紧扣项目实际情况，内容科学合理。 三、赋分依据 ①应急方案：每完全满足一个评审标准得1分，基本满足得0.5分，不能满足或未提供的不得分，满分3分。 ②应急响应流程：每完全满足一个评审标准得1分，基本满足得0.5分，不能满足或未提供的不得分，满分3分。 ③应急物资与人员配备：每完全满足一个评审标准得1分，基本满足得0.5分，不能满足或未提供的不得分，满分3分。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应急管理方案.docx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一、评审内容 供应商结合项目采购需求，提供人员配备方案。 二、评审标准 1、完整性：方案须全面，对评审内容中的各项要求描述详细； 2、可实施性：切合本项目实际情况，实施步骤清晰、合理； 3、针对性：方案能够紧扣项目实际情况，内容科学合理。 三、赋分依据 每完全满足一个评审标准得1分，基本满足得0.5分，不能满足或未提供的不得分，满分3分。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人员配备方案.docx</w:t>
            </w:r>
          </w:p>
        </w:tc>
      </w:tr>
      <w:tr>
        <w:tc>
          <w:tcPr>
            <w:tcW w:type="dxa" w:w="831"/>
            <w:vMerge/>
          </w:tcPr>
          <w:p/>
        </w:tc>
        <w:tc>
          <w:tcPr>
            <w:tcW w:type="dxa" w:w="1661"/>
          </w:tcPr>
          <w:p>
            <w:pPr>
              <w:pStyle w:val="null3"/>
            </w:pPr>
            <w:r>
              <w:rPr>
                <w:rFonts w:ascii="仿宋_GB2312" w:hAnsi="仿宋_GB2312" w:cs="仿宋_GB2312" w:eastAsia="仿宋_GB2312"/>
              </w:rPr>
              <w:t>内部人员培训方案</w:t>
            </w:r>
          </w:p>
        </w:tc>
        <w:tc>
          <w:tcPr>
            <w:tcW w:type="dxa" w:w="2492"/>
          </w:tcPr>
          <w:p>
            <w:pPr>
              <w:pStyle w:val="null3"/>
            </w:pPr>
            <w:r>
              <w:rPr>
                <w:rFonts w:ascii="仿宋_GB2312" w:hAnsi="仿宋_GB2312" w:cs="仿宋_GB2312" w:eastAsia="仿宋_GB2312"/>
              </w:rPr>
              <w:t>一、评审内容 供应商结合项目采购需求，提供内部人员培训方案。内容包括针对公司内部运输、处理人员的相关培训制度，保证内部人员的培训学习，确保各类政策及技术更新迭代时，不因处理不到位给采购人带来困扰。 二、评审标准 1、完整性：方案须全面，对评审内容中的各项要求描述详细； 2、可实施性：切合本项目实际情况，实施步骤清晰、合理； 3、针对性：方案能够紧扣项目实际情况，内容科学合理。 三、赋分依据 每完全满足一个评审标准得1分，基本满足得0.5分，不能满足或未提供的不得分，满分3分。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内部人员培训方案.docx</w:t>
            </w:r>
          </w:p>
        </w:tc>
      </w:tr>
      <w:tr>
        <w:tc>
          <w:tcPr>
            <w:tcW w:type="dxa" w:w="831"/>
            <w:vMerge/>
          </w:tcPr>
          <w:p/>
        </w:tc>
        <w:tc>
          <w:tcPr>
            <w:tcW w:type="dxa" w:w="1661"/>
          </w:tcPr>
          <w:p>
            <w:pPr>
              <w:pStyle w:val="null3"/>
            </w:pPr>
            <w:r>
              <w:rPr>
                <w:rFonts w:ascii="仿宋_GB2312" w:hAnsi="仿宋_GB2312" w:cs="仿宋_GB2312" w:eastAsia="仿宋_GB2312"/>
              </w:rPr>
              <w:t>服务承诺及措施</w:t>
            </w:r>
          </w:p>
        </w:tc>
        <w:tc>
          <w:tcPr>
            <w:tcW w:type="dxa" w:w="2492"/>
          </w:tcPr>
          <w:p>
            <w:pPr>
              <w:pStyle w:val="null3"/>
            </w:pPr>
            <w:r>
              <w:rPr>
                <w:rFonts w:ascii="仿宋_GB2312" w:hAnsi="仿宋_GB2312" w:cs="仿宋_GB2312" w:eastAsia="仿宋_GB2312"/>
              </w:rPr>
              <w:t>一、评审内容 供应商结合项目采购需求，提供服务承诺及措施。内容包含：①响应时效承诺及措施②安全责任承诺及措施③合规处置承诺及措施。 二、评审标准 1、完整性：方案须全面，对评审内容中的各项要求描述详细； 2、可实施性：切合本项目实际情况，实施步骤清晰、合理； 3、针对性：方案能够紧扣项目实际情况，内容科学合理。 三、赋分依据 ①响应时效承诺及措施：每完全满足一个评审标准得1分，基本满足得0.5分，不能满足或未提供的不得分，满分3分。 ②安全责任承诺及措施：每完全满足一个评审标准得1分，基本满足得0.5分，不能满足或未提供的不得分，满分3分。 ③合规处置承诺及措施：每完全满足一个评审标准得1分，基本满足得0.5分，不能满足或未提供的不得分，满分3分。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服务承诺及措施.docx</w:t>
            </w:r>
          </w:p>
        </w:tc>
      </w:tr>
      <w:tr>
        <w:tc>
          <w:tcPr>
            <w:tcW w:type="dxa" w:w="831"/>
            <w:vMerge/>
          </w:tcPr>
          <w:p/>
        </w:tc>
        <w:tc>
          <w:tcPr>
            <w:tcW w:type="dxa" w:w="1661"/>
          </w:tcPr>
          <w:p>
            <w:pPr>
              <w:pStyle w:val="null3"/>
            </w:pPr>
            <w:r>
              <w:rPr>
                <w:rFonts w:ascii="仿宋_GB2312" w:hAnsi="仿宋_GB2312" w:cs="仿宋_GB2312" w:eastAsia="仿宋_GB2312"/>
              </w:rPr>
              <w:t>增值服务承诺及措施</w:t>
            </w:r>
          </w:p>
        </w:tc>
        <w:tc>
          <w:tcPr>
            <w:tcW w:type="dxa" w:w="2492"/>
          </w:tcPr>
          <w:p>
            <w:pPr>
              <w:pStyle w:val="null3"/>
            </w:pPr>
            <w:r>
              <w:rPr>
                <w:rFonts w:ascii="仿宋_GB2312" w:hAnsi="仿宋_GB2312" w:cs="仿宋_GB2312" w:eastAsia="仿宋_GB2312"/>
              </w:rPr>
              <w:t>一、评审内容 供应商结合项目采购需求，提供增值服务承诺及措施。内容包含：①校内转运时间承诺及措施②专业打包称重服务承诺及措施③剧毒/未知危废专项处理服务承诺及措施。 二、评审标准 1、完整性：方案须全面，对评审内容中的各项要求描述详细； 2、可实施性：切合本项目实际情况，实施步骤清晰、合理； 3、针对性：方案能够紧扣项目实际情况，内容科学合理。 三、赋分依据 ①校内转运时间承诺及措施：每完全满足一个评审标准得1分，基本满足得0.5分，不能满足或未提供的不得分，满分3分。 ②专业打包称重服务承诺及措施：每完全满足一个评审标准得1分，基本满足得0.5分，不能满足或未提供的不得分，满分3分。 ③剧毒/未知危废专项处理服务承诺及措施：每完全满足一个评审标准得1分，基本满足得0.5分，不能满足或未提供的不得分，满分3分。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增值服务承诺及措施.docx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供应商自2023年3月1日至今同类项目业绩（以签订合同时间为准），每提供一份合格业绩证明得1分，最高得5分。 备注：须提供完整合同业绩复印件并加盖供应商公章。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有效供应商的最低报价为基准价得30分，其他各供应商的报价得分按下列公式计算：（基准价/投标报价）×30％×100。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报价一览表（折扣）.docx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详见附件：服务承诺及措施.docx</w:t>
      </w:r>
    </w:p>
    <w:p>
      <w:pPr>
        <w:pStyle w:val="null3"/>
        <w:ind w:firstLine="960"/>
      </w:pPr>
      <w:r>
        <w:rPr>
          <w:rFonts w:ascii="仿宋_GB2312" w:hAnsi="仿宋_GB2312" w:cs="仿宋_GB2312" w:eastAsia="仿宋_GB2312"/>
        </w:rPr>
        <w:t>详见附件：服务响应.docx</w:t>
      </w:r>
    </w:p>
    <w:p>
      <w:pPr>
        <w:pStyle w:val="null3"/>
        <w:ind w:firstLine="960"/>
      </w:pPr>
      <w:r>
        <w:rPr>
          <w:rFonts w:ascii="仿宋_GB2312" w:hAnsi="仿宋_GB2312" w:cs="仿宋_GB2312" w:eastAsia="仿宋_GB2312"/>
        </w:rPr>
        <w:t>详见附件：内部人员培训方案.docx</w:t>
      </w:r>
    </w:p>
    <w:p>
      <w:pPr>
        <w:pStyle w:val="null3"/>
        <w:ind w:firstLine="960"/>
      </w:pPr>
      <w:r>
        <w:rPr>
          <w:rFonts w:ascii="仿宋_GB2312" w:hAnsi="仿宋_GB2312" w:cs="仿宋_GB2312" w:eastAsia="仿宋_GB2312"/>
        </w:rPr>
        <w:t>详见附件：人员配备方案.docx</w:t>
      </w:r>
    </w:p>
    <w:p>
      <w:pPr>
        <w:pStyle w:val="null3"/>
        <w:ind w:firstLine="960"/>
      </w:pPr>
      <w:r>
        <w:rPr>
          <w:rFonts w:ascii="仿宋_GB2312" w:hAnsi="仿宋_GB2312" w:cs="仿宋_GB2312" w:eastAsia="仿宋_GB2312"/>
        </w:rPr>
        <w:t>详见附件：处置方案.docx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详见附件：应急管理方案.docx</w:t>
      </w:r>
    </w:p>
    <w:p>
      <w:pPr>
        <w:pStyle w:val="null3"/>
        <w:ind w:firstLine="960"/>
      </w:pPr>
      <w:r>
        <w:rPr>
          <w:rFonts w:ascii="仿宋_GB2312" w:hAnsi="仿宋_GB2312" w:cs="仿宋_GB2312" w:eastAsia="仿宋_GB2312"/>
        </w:rPr>
        <w:t>详见附件：运输流程方案.docx</w:t>
      </w:r>
    </w:p>
    <w:p>
      <w:pPr>
        <w:pStyle w:val="null3"/>
        <w:ind w:firstLine="960"/>
      </w:pPr>
      <w:r>
        <w:rPr>
          <w:rFonts w:ascii="仿宋_GB2312" w:hAnsi="仿宋_GB2312" w:cs="仿宋_GB2312" w:eastAsia="仿宋_GB2312"/>
        </w:rPr>
        <w:t>详见附件：增值服务承诺及措施.docx</w:t>
      </w:r>
    </w:p>
    <w:p>
      <w:pPr>
        <w:pStyle w:val="null3"/>
        <w:ind w:firstLine="960"/>
      </w:pPr>
      <w:r>
        <w:rPr>
          <w:rFonts w:ascii="仿宋_GB2312" w:hAnsi="仿宋_GB2312" w:cs="仿宋_GB2312" w:eastAsia="仿宋_GB2312"/>
        </w:rPr>
        <w:t>详见附件：报价一览表（折扣）.docx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