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B4DEF">
      <w:pPr>
        <w:pStyle w:val="26"/>
        <w:ind w:firstLine="0" w:firstLineChars="0"/>
        <w:jc w:val="center"/>
        <w:rPr>
          <w:rFonts w:hint="eastAsia"/>
          <w:b/>
          <w:sz w:val="28"/>
        </w:rPr>
      </w:pPr>
      <w:r>
        <w:rPr>
          <w:rFonts w:hint="eastAsia"/>
          <w:b/>
          <w:sz w:val="28"/>
        </w:rPr>
        <w:t>中共陕西省委党校（陕西行政学院）</w:t>
      </w:r>
    </w:p>
    <w:p w14:paraId="36270416">
      <w:pPr>
        <w:pStyle w:val="26"/>
        <w:ind w:firstLine="0" w:firstLineChars="0"/>
        <w:jc w:val="center"/>
        <w:rPr>
          <w:b/>
          <w:sz w:val="28"/>
        </w:rPr>
      </w:pPr>
      <w:r>
        <w:rPr>
          <w:rFonts w:hint="eastAsia"/>
          <w:b/>
          <w:sz w:val="28"/>
          <w:lang w:val="en-US" w:eastAsia="zh-CN"/>
        </w:rPr>
        <w:t>2026年</w:t>
      </w:r>
      <w:r>
        <w:rPr>
          <w:rFonts w:hint="eastAsia"/>
          <w:b/>
          <w:sz w:val="28"/>
        </w:rPr>
        <w:t>多媒体及网络运维服务项目合同</w:t>
      </w:r>
    </w:p>
    <w:p w14:paraId="4445D01F">
      <w:pPr>
        <w:rPr>
          <w:rFonts w:ascii="宋体" w:hAnsi="宋体"/>
          <w:sz w:val="24"/>
        </w:rPr>
      </w:pPr>
      <w:bookmarkStart w:id="0" w:name="_GoBack"/>
      <w:bookmarkEnd w:id="0"/>
    </w:p>
    <w:p w14:paraId="70D6A957">
      <w:pPr>
        <w:spacing w:line="360" w:lineRule="auto"/>
        <w:rPr>
          <w:rFonts w:ascii="宋体" w:hAnsi="宋体" w:cs="仿宋"/>
          <w:b/>
          <w:sz w:val="24"/>
        </w:rPr>
      </w:pPr>
      <w:r>
        <w:rPr>
          <w:rFonts w:hint="eastAsia" w:ascii="宋体" w:hAnsi="宋体" w:cs="仿宋"/>
          <w:b/>
          <w:sz w:val="24"/>
        </w:rPr>
        <w:t>甲方：中共陕西省委党校（陕西行政学院）</w:t>
      </w:r>
    </w:p>
    <w:p w14:paraId="4DC1E7C6">
      <w:pPr>
        <w:spacing w:line="360" w:lineRule="auto"/>
        <w:rPr>
          <w:rFonts w:ascii="宋体" w:hAnsi="宋体" w:cs="仿宋"/>
          <w:b/>
          <w:sz w:val="24"/>
        </w:rPr>
      </w:pPr>
      <w:r>
        <w:rPr>
          <w:rFonts w:hint="eastAsia" w:ascii="宋体" w:hAnsi="宋体" w:cs="仿宋"/>
          <w:b/>
          <w:sz w:val="24"/>
        </w:rPr>
        <w:t>乙方：</w:t>
      </w:r>
    </w:p>
    <w:p w14:paraId="307B2155">
      <w:pPr>
        <w:spacing w:line="360" w:lineRule="auto"/>
        <w:ind w:firstLine="480" w:firstLineChars="200"/>
        <w:rPr>
          <w:rFonts w:ascii="宋体" w:hAnsi="宋体" w:cs="仿宋"/>
          <w:sz w:val="24"/>
        </w:rPr>
      </w:pPr>
      <w:r>
        <w:rPr>
          <w:rFonts w:hint="eastAsia" w:ascii="宋体" w:hAnsi="宋体" w:cs="仿宋"/>
          <w:sz w:val="24"/>
        </w:rPr>
        <w:t>中共陕西省委党校（陕西行政学院）多媒体及网络运维服务项目经竞争性磋商，确定乙方为中标单位。甲、乙双方经友好协商，同意就中共陕西省委党校（陕西行政学院）多媒体及网络运维服务达成合作关系，特订立本合同。合同附件及本项目的《招标文件》、《投标文件》、《中标通知书》等均为本合同的组成部分。</w:t>
      </w:r>
    </w:p>
    <w:p w14:paraId="32618337">
      <w:pPr>
        <w:spacing w:line="360" w:lineRule="auto"/>
        <w:rPr>
          <w:rFonts w:ascii="宋体" w:hAnsi="宋体" w:cs="仿宋"/>
          <w:b/>
          <w:sz w:val="24"/>
        </w:rPr>
      </w:pPr>
      <w:r>
        <w:rPr>
          <w:rFonts w:hint="eastAsia" w:ascii="宋体" w:hAnsi="宋体" w:cs="仿宋"/>
          <w:b/>
          <w:sz w:val="24"/>
          <w:lang w:eastAsia="zh-CN"/>
        </w:rPr>
        <w:t>一</w:t>
      </w:r>
      <w:r>
        <w:rPr>
          <w:rFonts w:hint="eastAsia" w:ascii="宋体" w:hAnsi="宋体" w:cs="仿宋"/>
          <w:b/>
          <w:sz w:val="24"/>
        </w:rPr>
        <w:t>、服务方式</w:t>
      </w:r>
    </w:p>
    <w:p w14:paraId="14CC8F3A">
      <w:pPr>
        <w:spacing w:line="360" w:lineRule="auto"/>
        <w:ind w:firstLine="480" w:firstLineChars="200"/>
        <w:rPr>
          <w:rFonts w:hint="eastAsia" w:ascii="宋体" w:hAnsi="宋体" w:cs="仿宋"/>
          <w:b/>
          <w:sz w:val="24"/>
          <w:lang w:eastAsia="zh-CN"/>
        </w:rPr>
      </w:pPr>
      <w:r>
        <w:rPr>
          <w:rFonts w:hint="eastAsia" w:ascii="宋体" w:hAnsi="宋体" w:cs="仿宋"/>
          <w:sz w:val="24"/>
          <w:lang w:eastAsia="zh-CN"/>
        </w:rPr>
        <w:t>乙方</w:t>
      </w:r>
      <w:r>
        <w:rPr>
          <w:rFonts w:hint="eastAsia" w:ascii="宋体" w:hAnsi="宋体" w:cs="仿宋"/>
          <w:sz w:val="24"/>
        </w:rPr>
        <w:t>选派</w:t>
      </w:r>
      <w:r>
        <w:rPr>
          <w:rFonts w:hint="eastAsia" w:ascii="宋体" w:hAnsi="宋体" w:cs="仿宋"/>
          <w:sz w:val="24"/>
          <w:lang w:eastAsia="zh-CN"/>
        </w:rPr>
        <w:t>不少于</w:t>
      </w:r>
      <w:r>
        <w:rPr>
          <w:rFonts w:hint="eastAsia" w:ascii="宋体" w:hAnsi="宋体" w:cs="仿宋"/>
          <w:sz w:val="24"/>
          <w:lang w:val="en-US" w:eastAsia="zh-CN"/>
        </w:rPr>
        <w:t>7</w:t>
      </w:r>
      <w:r>
        <w:rPr>
          <w:rFonts w:hint="eastAsia" w:ascii="宋体" w:hAnsi="宋体" w:cs="仿宋"/>
          <w:sz w:val="24"/>
        </w:rPr>
        <w:t>名技术人员到学校指定办公地点，驻场服务，接受</w:t>
      </w:r>
      <w:r>
        <w:rPr>
          <w:rFonts w:hint="eastAsia" w:ascii="宋体" w:hAnsi="宋体" w:cs="仿宋"/>
          <w:sz w:val="24"/>
          <w:lang w:eastAsia="zh-CN"/>
        </w:rPr>
        <w:t>甲方</w:t>
      </w:r>
      <w:r>
        <w:rPr>
          <w:rFonts w:hint="eastAsia" w:ascii="宋体" w:hAnsi="宋体" w:cs="仿宋"/>
          <w:sz w:val="24"/>
        </w:rPr>
        <w:t>业务部门的管理；驻场人员</w:t>
      </w:r>
      <w:r>
        <w:rPr>
          <w:rFonts w:hint="eastAsia" w:ascii="宋体" w:hAnsi="宋体" w:cs="仿宋"/>
          <w:sz w:val="24"/>
          <w:lang w:eastAsia="zh-CN"/>
        </w:rPr>
        <w:t>应具备相关专业能力水平，须</w:t>
      </w:r>
      <w:r>
        <w:rPr>
          <w:rFonts w:hint="eastAsia" w:ascii="宋体" w:hAnsi="宋体" w:cs="仿宋"/>
          <w:sz w:val="24"/>
        </w:rPr>
        <w:t>尽快熟悉掌握校（院）</w:t>
      </w:r>
      <w:r>
        <w:rPr>
          <w:rFonts w:hint="eastAsia" w:ascii="宋体" w:hAnsi="宋体" w:cs="仿宋"/>
          <w:sz w:val="24"/>
          <w:lang w:eastAsia="zh-CN"/>
        </w:rPr>
        <w:t>教学会议场所多媒体设备设施和办公、</w:t>
      </w:r>
      <w:r>
        <w:rPr>
          <w:rFonts w:hint="eastAsia" w:ascii="宋体" w:hAnsi="宋体" w:cs="仿宋"/>
          <w:sz w:val="24"/>
        </w:rPr>
        <w:t>网络环境，并长期固定</w:t>
      </w:r>
      <w:r>
        <w:rPr>
          <w:rFonts w:hint="eastAsia" w:ascii="宋体" w:hAnsi="宋体" w:cs="仿宋"/>
          <w:sz w:val="24"/>
          <w:lang w:eastAsia="zh-CN"/>
        </w:rPr>
        <w:t>不得随意更换</w:t>
      </w:r>
      <w:r>
        <w:rPr>
          <w:rFonts w:hint="eastAsia" w:ascii="宋体" w:hAnsi="宋体" w:cs="仿宋"/>
          <w:sz w:val="24"/>
        </w:rPr>
        <w:t>。</w:t>
      </w:r>
      <w:r>
        <w:rPr>
          <w:rFonts w:hint="eastAsia" w:ascii="宋体" w:hAnsi="宋体" w:cs="仿宋"/>
          <w:sz w:val="24"/>
          <w:lang w:eastAsia="zh-CN"/>
        </w:rPr>
        <w:t>同时，乙方</w:t>
      </w:r>
      <w:r>
        <w:rPr>
          <w:rFonts w:hint="eastAsia" w:ascii="宋体" w:hAnsi="宋体" w:cs="仿宋"/>
          <w:sz w:val="24"/>
        </w:rPr>
        <w:t>应配备1-2名专业技术水平较高的系统工程师，定期对驻场运维人员进行培训管理，对该运维服务项目进行整体规划和技术指导。</w:t>
      </w:r>
    </w:p>
    <w:p w14:paraId="3CFA52A3">
      <w:pPr>
        <w:spacing w:line="360" w:lineRule="auto"/>
        <w:rPr>
          <w:rFonts w:ascii="宋体" w:hAnsi="宋体" w:cs="仿宋"/>
          <w:b/>
          <w:sz w:val="24"/>
        </w:rPr>
      </w:pPr>
      <w:r>
        <w:rPr>
          <w:rFonts w:hint="eastAsia" w:ascii="宋体" w:hAnsi="宋体" w:cs="仿宋"/>
          <w:b/>
          <w:sz w:val="24"/>
          <w:lang w:eastAsia="zh-CN"/>
        </w:rPr>
        <w:t>二</w:t>
      </w:r>
      <w:r>
        <w:rPr>
          <w:rFonts w:hint="eastAsia" w:ascii="宋体" w:hAnsi="宋体" w:cs="仿宋"/>
          <w:b/>
          <w:sz w:val="24"/>
        </w:rPr>
        <w:t>、服务内容</w:t>
      </w:r>
    </w:p>
    <w:p w14:paraId="35048C80">
      <w:pPr>
        <w:spacing w:line="360" w:lineRule="auto"/>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所有教学及会议场所的计算机维护、定期检测，投影机使用维护、定期保养维护，音响设备的调试使用和保养维护，大屏幕、LED屏的使用维护，教学监控系统的使用维护，信息发布系统的使用维护，集控系统的使用维护，所有教学、会议场所活动的技术支持、保障，所有实训室教学活动的基本操作、技术保障。</w:t>
      </w:r>
    </w:p>
    <w:p w14:paraId="1CD2FD56">
      <w:pPr>
        <w:spacing w:line="360" w:lineRule="auto"/>
        <w:ind w:firstLine="480" w:firstLineChars="200"/>
        <w:rPr>
          <w:rFonts w:hint="eastAsia" w:ascii="宋体" w:hAnsi="宋体"/>
          <w:sz w:val="24"/>
        </w:rPr>
      </w:pPr>
      <w:r>
        <w:rPr>
          <w:rFonts w:hint="eastAsia" w:ascii="宋体" w:hAnsi="宋体"/>
          <w:sz w:val="24"/>
          <w:lang w:val="en-US" w:eastAsia="zh-CN"/>
        </w:rPr>
        <w:t>2、</w:t>
      </w:r>
      <w:r>
        <w:rPr>
          <w:rFonts w:hint="eastAsia" w:ascii="宋体" w:hAnsi="宋体"/>
          <w:sz w:val="24"/>
        </w:rPr>
        <w:t>按照课程和会议安排，提供日常教学、会议、直播、转播、全程录制、实训室演练等活动的保障、技术支持和指导，协助科室保障相关日常工作，并做好工作记录。</w:t>
      </w:r>
    </w:p>
    <w:p w14:paraId="2849993D">
      <w:pPr>
        <w:spacing w:line="360" w:lineRule="auto"/>
        <w:ind w:firstLine="480" w:firstLineChars="200"/>
        <w:rPr>
          <w:rFonts w:hint="eastAsia" w:ascii="宋体" w:hAnsi="宋体"/>
          <w:sz w:val="24"/>
        </w:rPr>
      </w:pPr>
      <w:r>
        <w:rPr>
          <w:rFonts w:hint="eastAsia" w:ascii="宋体" w:hAnsi="宋体"/>
          <w:sz w:val="24"/>
          <w:lang w:val="en-US" w:eastAsia="zh-CN"/>
        </w:rPr>
        <w:t>3、</w:t>
      </w:r>
      <w:r>
        <w:rPr>
          <w:rFonts w:hint="eastAsia" w:ascii="宋体" w:hAnsi="宋体"/>
          <w:sz w:val="24"/>
        </w:rPr>
        <w:t>每月对所有设备进行一次巡检，每半年对设备进行一次检修和深度保养，发现问题及时上报，并做好相关工作记录，及时提交服务监管部门。</w:t>
      </w:r>
    </w:p>
    <w:p w14:paraId="5A3654FE">
      <w:pPr>
        <w:spacing w:line="360" w:lineRule="auto"/>
        <w:ind w:firstLine="480" w:firstLineChars="200"/>
        <w:rPr>
          <w:rFonts w:hint="eastAsia" w:ascii="宋体" w:hAnsi="宋体"/>
          <w:sz w:val="24"/>
        </w:rPr>
      </w:pPr>
      <w:r>
        <w:rPr>
          <w:rFonts w:hint="eastAsia" w:ascii="宋体" w:hAnsi="宋体"/>
          <w:sz w:val="24"/>
          <w:lang w:val="en-US" w:eastAsia="zh-CN"/>
        </w:rPr>
        <w:t>4、</w:t>
      </w:r>
      <w:r>
        <w:rPr>
          <w:rFonts w:hint="eastAsia" w:ascii="宋体" w:hAnsi="宋体"/>
          <w:sz w:val="24"/>
        </w:rPr>
        <w:t>配合</w:t>
      </w:r>
      <w:r>
        <w:rPr>
          <w:rFonts w:hint="eastAsia" w:ascii="宋体" w:hAnsi="宋体"/>
          <w:sz w:val="24"/>
          <w:lang w:eastAsia="zh-CN"/>
        </w:rPr>
        <w:t>甲方</w:t>
      </w:r>
      <w:r>
        <w:rPr>
          <w:rFonts w:hint="eastAsia" w:ascii="宋体" w:hAnsi="宋体"/>
          <w:sz w:val="24"/>
        </w:rPr>
        <w:t>完成所有场所设施的维修、优化升级、资料整理等技术工作，为</w:t>
      </w:r>
      <w:r>
        <w:rPr>
          <w:rFonts w:hint="eastAsia" w:ascii="宋体" w:hAnsi="宋体"/>
          <w:sz w:val="24"/>
          <w:lang w:eastAsia="zh-CN"/>
        </w:rPr>
        <w:t>甲方</w:t>
      </w:r>
      <w:r>
        <w:rPr>
          <w:rFonts w:hint="eastAsia" w:ascii="宋体" w:hAnsi="宋体"/>
          <w:sz w:val="24"/>
        </w:rPr>
        <w:t>上述所有设施使用管理方式方法提供技术支持和实践探索。</w:t>
      </w:r>
    </w:p>
    <w:p w14:paraId="76AC9D67">
      <w:pPr>
        <w:spacing w:line="360" w:lineRule="auto"/>
        <w:ind w:firstLine="480" w:firstLineChars="200"/>
        <w:rPr>
          <w:rFonts w:hint="eastAsia" w:ascii="宋体" w:hAnsi="宋体"/>
          <w:sz w:val="24"/>
        </w:rPr>
      </w:pPr>
      <w:r>
        <w:rPr>
          <w:rFonts w:hint="eastAsia" w:ascii="宋体" w:hAnsi="宋体"/>
          <w:sz w:val="24"/>
          <w:lang w:val="en-US" w:eastAsia="zh-CN"/>
        </w:rPr>
        <w:t>5、</w:t>
      </w:r>
      <w:r>
        <w:rPr>
          <w:rFonts w:hint="eastAsia" w:ascii="宋体" w:hAnsi="宋体"/>
          <w:sz w:val="24"/>
        </w:rPr>
        <w:t>以较优惠的价格为</w:t>
      </w:r>
      <w:r>
        <w:rPr>
          <w:rFonts w:hint="eastAsia" w:ascii="宋体" w:hAnsi="宋体"/>
          <w:sz w:val="24"/>
          <w:lang w:eastAsia="zh-CN"/>
        </w:rPr>
        <w:t>甲方</w:t>
      </w:r>
      <w:r>
        <w:rPr>
          <w:rFonts w:hint="eastAsia" w:ascii="宋体" w:hAnsi="宋体"/>
          <w:sz w:val="24"/>
        </w:rPr>
        <w:t>提供各类视音频、网络、数据线路的施工服务和维修耗材、配件产品配备。</w:t>
      </w:r>
    </w:p>
    <w:p w14:paraId="0E495DCF">
      <w:pPr>
        <w:spacing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终端设备排障。主要包括：办公区内所有教职工和主体班次学员房间的办公信息化设备（电脑、打印机等外设）软硬件故障的检修、排查和技术指导；校园网用户的主要终端设备（电脑、路由器、智能终端类产品）的上网辅助和技术指导。</w:t>
      </w:r>
    </w:p>
    <w:p w14:paraId="68F0890E">
      <w:pPr>
        <w:spacing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、校园网网络故障的排查、日常检修与用户技术指导。主要包括：网络线路、网络设备、上网端口（水晶头、面板模块）等设施的检修，网络参数设置、有线/无线上网疑问的处置等。</w:t>
      </w:r>
    </w:p>
    <w:p w14:paraId="0E774EE5">
      <w:pPr>
        <w:spacing w:line="360" w:lineRule="auto"/>
        <w:ind w:firstLine="480" w:firstLineChars="200"/>
        <w:rPr>
          <w:rFonts w:ascii="宋体" w:hAnsi="宋体"/>
          <w:sz w:val="24"/>
        </w:rPr>
      </w:pPr>
      <w:r>
        <w:rPr>
          <w:rFonts w:hint="eastAsia" w:ascii="宋体" w:hAnsi="宋体"/>
          <w:sz w:val="24"/>
          <w:lang w:val="en-US" w:eastAsia="zh-CN"/>
        </w:rPr>
        <w:t>8</w:t>
      </w:r>
      <w:r>
        <w:rPr>
          <w:rFonts w:hint="eastAsia" w:ascii="宋体" w:hAnsi="宋体"/>
          <w:sz w:val="24"/>
        </w:rPr>
        <w:t>、配合学校完成校园网络干线、交换设备及相关网络系统的检修、优化等技术工作，包括技术保障和资料整理。</w:t>
      </w:r>
    </w:p>
    <w:p w14:paraId="3405570B">
      <w:pPr>
        <w:spacing w:line="360" w:lineRule="auto"/>
        <w:ind w:firstLine="480" w:firstLineChars="200"/>
        <w:rPr>
          <w:rFonts w:ascii="宋体" w:hAnsi="宋体"/>
          <w:sz w:val="24"/>
        </w:rPr>
      </w:pPr>
      <w:r>
        <w:rPr>
          <w:rFonts w:hint="eastAsia" w:ascii="宋体" w:hAnsi="宋体"/>
          <w:sz w:val="24"/>
          <w:lang w:val="en-US" w:eastAsia="zh-CN"/>
        </w:rPr>
        <w:t>9</w:t>
      </w:r>
      <w:r>
        <w:rPr>
          <w:rFonts w:hint="eastAsia" w:ascii="宋体" w:hAnsi="宋体"/>
          <w:sz w:val="24"/>
        </w:rPr>
        <w:t>、定期（不超过2个月）对所有网络设备进行巡检、统计，发现问题及时上报解决。</w:t>
      </w:r>
    </w:p>
    <w:p w14:paraId="78A84D49">
      <w:pPr>
        <w:spacing w:line="360" w:lineRule="auto"/>
        <w:ind w:firstLine="480" w:firstLineChars="200"/>
        <w:rPr>
          <w:rFonts w:hint="eastAsia" w:ascii="宋体" w:hAnsi="宋体"/>
          <w:sz w:val="24"/>
        </w:rPr>
      </w:pPr>
      <w:r>
        <w:rPr>
          <w:rFonts w:hint="eastAsia" w:ascii="宋体" w:hAnsi="宋体"/>
          <w:sz w:val="24"/>
          <w:lang w:val="en-US" w:eastAsia="zh-CN"/>
        </w:rPr>
        <w:t>10</w:t>
      </w:r>
      <w:r>
        <w:rPr>
          <w:rFonts w:hint="eastAsia" w:ascii="宋体" w:hAnsi="宋体"/>
          <w:sz w:val="24"/>
        </w:rPr>
        <w:t>、配合</w:t>
      </w:r>
      <w:r>
        <w:rPr>
          <w:rFonts w:hint="eastAsia" w:ascii="宋体" w:hAnsi="宋体"/>
          <w:sz w:val="24"/>
          <w:lang w:eastAsia="zh-CN"/>
        </w:rPr>
        <w:t>甲方</w:t>
      </w:r>
      <w:r>
        <w:rPr>
          <w:rFonts w:hint="eastAsia" w:ascii="宋体" w:hAnsi="宋体"/>
          <w:sz w:val="24"/>
        </w:rPr>
        <w:t>做好相关信息化设备资产的登记和统计，资料整理工作。</w:t>
      </w:r>
    </w:p>
    <w:p w14:paraId="47E1B241">
      <w:pPr>
        <w:spacing w:line="360" w:lineRule="auto"/>
        <w:ind w:firstLine="480" w:firstLineChars="200"/>
        <w:rPr>
          <w:rFonts w:hint="eastAsia" w:ascii="宋体" w:hAnsi="宋体" w:cs="仿宋"/>
          <w:sz w:val="24"/>
          <w:lang w:val="en-US" w:eastAsia="zh-CN"/>
        </w:rPr>
      </w:pPr>
      <w:r>
        <w:rPr>
          <w:rFonts w:hint="eastAsia" w:ascii="宋体" w:hAnsi="宋体" w:cs="仿宋"/>
          <w:sz w:val="24"/>
          <w:lang w:val="en-US" w:eastAsia="zh-CN"/>
        </w:rPr>
        <w:t>11</w:t>
      </w:r>
      <w:r>
        <w:rPr>
          <w:rFonts w:hint="eastAsia" w:ascii="宋体" w:hAnsi="宋体" w:cs="仿宋"/>
          <w:sz w:val="24"/>
        </w:rPr>
        <w:t>、根据学校信息化建设工作安排，进行有关施工的配合。</w:t>
      </w:r>
    </w:p>
    <w:p w14:paraId="43C19AF0">
      <w:pPr>
        <w:spacing w:line="360" w:lineRule="auto"/>
        <w:rPr>
          <w:rFonts w:ascii="宋体" w:hAnsi="宋体" w:cs="仿宋"/>
          <w:b/>
          <w:sz w:val="24"/>
        </w:rPr>
      </w:pPr>
      <w:r>
        <w:rPr>
          <w:rFonts w:hint="eastAsia" w:ascii="宋体" w:hAnsi="宋体" w:cs="仿宋"/>
          <w:b/>
          <w:sz w:val="24"/>
        </w:rPr>
        <w:t>三、服务规格要求</w:t>
      </w:r>
    </w:p>
    <w:p w14:paraId="204E3439">
      <w:pPr>
        <w:spacing w:line="360" w:lineRule="auto"/>
        <w:ind w:firstLine="480" w:firstLineChars="200"/>
        <w:rPr>
          <w:rFonts w:hint="eastAsia" w:ascii="宋体" w:hAnsi="宋体"/>
          <w:sz w:val="24"/>
        </w:rPr>
      </w:pPr>
      <w:r>
        <w:rPr>
          <w:rFonts w:hint="eastAsia" w:ascii="宋体" w:hAnsi="宋体" w:cs="仿宋"/>
          <w:sz w:val="24"/>
          <w:lang w:val="en-US" w:eastAsia="zh-CN"/>
        </w:rPr>
        <w:t>1、驻场工作时间：工作日与学校工作时间安排同步。节假日（周末、国家法定假期）须安排值班。如有特殊工作安排需加派人员。配合校方做好特殊时期（如重要会议、重要活动、疫情防控等）的现场保障工作，包括但不限于24小时轮流值守等。对节假日值班或者加班，供应商需要有相应备用人员进行顶替换休，或者按照国家规定节假日加班支付加班费</w:t>
      </w:r>
      <w:r>
        <w:rPr>
          <w:rFonts w:ascii="宋体" w:hAnsi="宋体"/>
          <w:sz w:val="24"/>
          <w:szCs w:val="24"/>
        </w:rPr>
        <w:t>。</w:t>
      </w:r>
    </w:p>
    <w:p w14:paraId="71B843C5">
      <w:pPr>
        <w:spacing w:line="360" w:lineRule="auto"/>
        <w:ind w:firstLine="480" w:firstLineChars="200"/>
        <w:rPr>
          <w:rFonts w:hint="eastAsia" w:ascii="宋体" w:hAnsi="宋体"/>
          <w:sz w:val="24"/>
        </w:rPr>
      </w:pPr>
      <w:r>
        <w:rPr>
          <w:rFonts w:hint="eastAsia" w:ascii="宋体" w:hAnsi="宋体"/>
          <w:sz w:val="24"/>
          <w:lang w:val="en-US" w:eastAsia="zh-CN"/>
        </w:rPr>
        <w:t>2、网络运维岗位人员需具备专科及以上学历，计算机或IT相关专业，一年以上相关工作经验；多媒体运维岗需具备计算机软硬件、网络、视音频、系统管理等方面的专业知识，一年以上相关工作经验</w:t>
      </w:r>
      <w:r>
        <w:rPr>
          <w:rFonts w:hint="eastAsia" w:ascii="宋体" w:hAnsi="宋体"/>
          <w:sz w:val="24"/>
        </w:rPr>
        <w:t>。</w:t>
      </w:r>
    </w:p>
    <w:p w14:paraId="2D3752FB">
      <w:pPr>
        <w:spacing w:line="360" w:lineRule="auto"/>
        <w:ind w:firstLine="480" w:firstLineChars="200"/>
        <w:rPr>
          <w:rFonts w:hint="eastAsia" w:ascii="宋体" w:hAnsi="宋体"/>
          <w:sz w:val="24"/>
        </w:rPr>
      </w:pPr>
      <w:r>
        <w:rPr>
          <w:rFonts w:hint="eastAsia" w:ascii="宋体" w:hAnsi="宋体"/>
          <w:sz w:val="24"/>
          <w:lang w:val="en-US" w:eastAsia="zh-CN"/>
        </w:rPr>
        <w:t>3、驻场人员应具有较强的责任心，独立处理问题能力强；要求着装整齐、仪表整洁，响应及时，服务耐心、热情，一次性解决问题成功率高。网络运维人员第一时间解决不了的，须和用户预约时间，如有其他工作原因不能按预约时间处置，须和对方电话沟通并另约时间。问题解决一般不应超过24小时</w:t>
      </w:r>
      <w:r>
        <w:rPr>
          <w:rFonts w:hint="eastAsia" w:ascii="宋体" w:hAnsi="宋体"/>
          <w:sz w:val="24"/>
        </w:rPr>
        <w:t>。</w:t>
      </w:r>
    </w:p>
    <w:p w14:paraId="2855FDCB">
      <w:pPr>
        <w:spacing w:line="360" w:lineRule="auto"/>
        <w:ind w:firstLine="480" w:firstLineChars="200"/>
        <w:rPr>
          <w:rFonts w:hint="eastAsia" w:ascii="宋体" w:hAnsi="宋体"/>
          <w:sz w:val="24"/>
        </w:rPr>
      </w:pPr>
      <w:r>
        <w:rPr>
          <w:rFonts w:hint="eastAsia" w:ascii="宋体" w:hAnsi="宋体"/>
          <w:sz w:val="24"/>
          <w:lang w:val="en-US" w:eastAsia="zh-CN"/>
        </w:rPr>
        <w:t>4</w:t>
      </w:r>
      <w:r>
        <w:rPr>
          <w:rFonts w:hint="eastAsia" w:ascii="宋体" w:hAnsi="宋体"/>
          <w:sz w:val="24"/>
        </w:rPr>
        <w:t>、多媒体运维岗位人员根据课表和会议通知至少提前15-30分钟开启设备并调试到正常状态，保证所有多媒体、会议设备正常运行，如遇重要活动特殊要求，需按照活动要求时间完成现场的会场准备、设备调试及保障工作，会议结束后要及时恢复会场为正常状态。教学或会议中出现故障应在5分钟之内到场排查，并第一时间解决。技术复杂的故障如重新安装系统、中控程序丢失、投影机灯泡需要更换等故障，应提前报设备管理部门和教室管理部门协调场所安排，24小时内完成系统安装及故障维修。出现硬件故障需返厂维修的，要与教室管理部门和设备管理部门及时沟通进行协调设备维修或更换教室。</w:t>
      </w:r>
    </w:p>
    <w:p w14:paraId="31D57684">
      <w:pPr>
        <w:spacing w:line="360" w:lineRule="auto"/>
        <w:ind w:firstLine="480" w:firstLineChars="200"/>
        <w:rPr>
          <w:rFonts w:hint="eastAsia" w:ascii="宋体" w:hAnsi="宋体"/>
          <w:sz w:val="24"/>
        </w:rPr>
      </w:pPr>
      <w:r>
        <w:rPr>
          <w:rFonts w:hint="eastAsia" w:ascii="宋体" w:hAnsi="宋体"/>
          <w:sz w:val="24"/>
          <w:lang w:val="en-US" w:eastAsia="zh-CN"/>
        </w:rPr>
        <w:t>5</w:t>
      </w:r>
      <w:r>
        <w:rPr>
          <w:rFonts w:hint="eastAsia" w:ascii="宋体" w:hAnsi="宋体"/>
          <w:sz w:val="24"/>
        </w:rPr>
        <w:t>、</w:t>
      </w:r>
      <w:r>
        <w:rPr>
          <w:rFonts w:hint="eastAsia" w:ascii="宋体" w:hAnsi="宋体"/>
          <w:sz w:val="24"/>
          <w:lang w:eastAsia="zh-CN"/>
        </w:rPr>
        <w:t>驻</w:t>
      </w:r>
      <w:r>
        <w:rPr>
          <w:rFonts w:hint="eastAsia" w:ascii="宋体" w:hAnsi="宋体"/>
          <w:sz w:val="24"/>
        </w:rPr>
        <w:t>场人员须遵纪守法，服从</w:t>
      </w:r>
      <w:r>
        <w:rPr>
          <w:rFonts w:hint="eastAsia" w:ascii="宋体" w:hAnsi="宋体"/>
          <w:sz w:val="24"/>
          <w:lang w:eastAsia="zh-CN"/>
        </w:rPr>
        <w:t>甲方</w:t>
      </w:r>
      <w:r>
        <w:rPr>
          <w:rFonts w:hint="eastAsia" w:ascii="宋体" w:hAnsi="宋体"/>
          <w:sz w:val="24"/>
        </w:rPr>
        <w:t>管理，按照工作要求处理技术问题，遵从学校的作息时间和工作纪律，按时上下班，按计划做好值班工作，履行请假销假手续，不得出现迟到、早退、旷工、不服从管理的现象。驻场人员如发生不服从管理、无故旷工、长期迟到早退、未按时开关设备、超过响应时间不到场、出现故障不及时上报、工作时间不在岗、报修电话或手机无法接通、维修故障处理不及时等情况被投诉累计超过5次，</w:t>
      </w:r>
      <w:r>
        <w:rPr>
          <w:rFonts w:hint="eastAsia" w:ascii="宋体" w:hAnsi="宋体"/>
          <w:sz w:val="24"/>
          <w:lang w:eastAsia="zh-CN"/>
        </w:rPr>
        <w:t>乙方</w:t>
      </w:r>
      <w:r>
        <w:rPr>
          <w:rFonts w:hint="eastAsia" w:ascii="宋体" w:hAnsi="宋体"/>
          <w:sz w:val="24"/>
        </w:rPr>
        <w:t>须</w:t>
      </w:r>
      <w:r>
        <w:rPr>
          <w:rFonts w:hint="eastAsia" w:ascii="宋体" w:hAnsi="宋体"/>
          <w:sz w:val="24"/>
          <w:lang w:eastAsia="zh-CN"/>
        </w:rPr>
        <w:t>在</w:t>
      </w:r>
      <w:r>
        <w:rPr>
          <w:rFonts w:hint="eastAsia" w:ascii="宋体" w:hAnsi="宋体"/>
          <w:sz w:val="24"/>
          <w:lang w:val="en-US" w:eastAsia="zh-CN"/>
        </w:rPr>
        <w:t>7日内</w:t>
      </w:r>
      <w:r>
        <w:rPr>
          <w:rFonts w:hint="eastAsia" w:ascii="宋体" w:hAnsi="宋体"/>
          <w:sz w:val="24"/>
        </w:rPr>
        <w:t>更换运维人员或重新培训上岗，培训期间所产生的一切费用及人员缺岗等问题由乙方承担，</w:t>
      </w:r>
      <w:r>
        <w:rPr>
          <w:rFonts w:hint="eastAsia" w:ascii="宋体" w:hAnsi="宋体"/>
          <w:b/>
          <w:bCs/>
          <w:sz w:val="24"/>
        </w:rPr>
        <w:t>同时扣除</w:t>
      </w:r>
      <w:r>
        <w:rPr>
          <w:rFonts w:hint="eastAsia" w:ascii="宋体" w:hAnsi="宋体"/>
          <w:b/>
          <w:bCs/>
          <w:sz w:val="24"/>
          <w:lang w:val="en-US" w:eastAsia="zh-CN"/>
        </w:rPr>
        <w:t>1000元</w:t>
      </w:r>
      <w:r>
        <w:rPr>
          <w:rFonts w:hint="eastAsia" w:ascii="宋体" w:hAnsi="宋体"/>
          <w:b/>
          <w:bCs/>
          <w:sz w:val="24"/>
        </w:rPr>
        <w:t>服务费</w:t>
      </w:r>
      <w:r>
        <w:rPr>
          <w:rFonts w:hint="eastAsia" w:ascii="宋体" w:hAnsi="宋体"/>
          <w:sz w:val="24"/>
        </w:rPr>
        <w:t>。</w:t>
      </w:r>
    </w:p>
    <w:p w14:paraId="0698ADDE">
      <w:pPr>
        <w:spacing w:line="360" w:lineRule="auto"/>
        <w:ind w:firstLine="480" w:firstLineChars="200"/>
        <w:rPr>
          <w:rFonts w:hint="eastAsia" w:ascii="宋体" w:hAnsi="宋体"/>
          <w:sz w:val="24"/>
        </w:rPr>
      </w:pPr>
      <w:r>
        <w:rPr>
          <w:rFonts w:hint="eastAsia" w:ascii="宋体" w:hAnsi="宋体"/>
          <w:sz w:val="24"/>
          <w:lang w:val="en-US" w:eastAsia="zh-CN"/>
        </w:rPr>
        <w:t>6</w:t>
      </w:r>
      <w:r>
        <w:rPr>
          <w:rFonts w:hint="eastAsia" w:ascii="宋体" w:hAnsi="宋体"/>
          <w:sz w:val="24"/>
        </w:rPr>
        <w:t>、如有运维人员离职，</w:t>
      </w:r>
      <w:r>
        <w:rPr>
          <w:rFonts w:hint="eastAsia" w:ascii="宋体" w:hAnsi="宋体"/>
          <w:sz w:val="24"/>
          <w:lang w:eastAsia="zh-CN"/>
        </w:rPr>
        <w:t>乙方</w:t>
      </w:r>
      <w:r>
        <w:rPr>
          <w:rFonts w:hint="eastAsia" w:ascii="宋体" w:hAnsi="宋体"/>
          <w:sz w:val="24"/>
        </w:rPr>
        <w:t>需至少提前</w:t>
      </w:r>
      <w:r>
        <w:rPr>
          <w:rFonts w:hint="eastAsia" w:ascii="宋体" w:hAnsi="宋体"/>
          <w:sz w:val="24"/>
          <w:lang w:eastAsia="zh-CN"/>
        </w:rPr>
        <w:t>一</w:t>
      </w:r>
      <w:r>
        <w:rPr>
          <w:rFonts w:hint="eastAsia" w:ascii="宋体" w:hAnsi="宋体"/>
          <w:sz w:val="24"/>
        </w:rPr>
        <w:t>周告知</w:t>
      </w:r>
      <w:r>
        <w:rPr>
          <w:rFonts w:hint="eastAsia" w:ascii="宋体" w:hAnsi="宋体"/>
          <w:sz w:val="24"/>
          <w:lang w:eastAsia="zh-CN"/>
        </w:rPr>
        <w:t>甲方</w:t>
      </w:r>
      <w:r>
        <w:rPr>
          <w:rFonts w:hint="eastAsia" w:ascii="宋体" w:hAnsi="宋体"/>
          <w:sz w:val="24"/>
        </w:rPr>
        <w:t>并另派符合需求的运维人员及时接替，</w:t>
      </w:r>
      <w:r>
        <w:rPr>
          <w:rFonts w:hint="eastAsia" w:ascii="宋体" w:hAnsi="宋体"/>
          <w:sz w:val="24"/>
          <w:lang w:eastAsia="zh-CN"/>
        </w:rPr>
        <w:t>人员缺岗期间，</w:t>
      </w:r>
      <w:r>
        <w:rPr>
          <w:rFonts w:hint="eastAsia" w:ascii="宋体" w:hAnsi="宋体"/>
          <w:sz w:val="24"/>
        </w:rPr>
        <w:t>按缺岗人数、时间扣</w:t>
      </w:r>
      <w:r>
        <w:rPr>
          <w:rFonts w:hint="eastAsia" w:ascii="宋体" w:hAnsi="宋体"/>
          <w:b/>
          <w:bCs/>
          <w:sz w:val="24"/>
        </w:rPr>
        <w:t>除</w:t>
      </w:r>
      <w:r>
        <w:rPr>
          <w:rFonts w:hint="eastAsia" w:ascii="宋体" w:hAnsi="宋体"/>
          <w:b/>
          <w:bCs/>
          <w:sz w:val="24"/>
          <w:lang w:eastAsia="zh-CN"/>
        </w:rPr>
        <w:t>双倍</w:t>
      </w:r>
      <w:r>
        <w:rPr>
          <w:rFonts w:hint="eastAsia" w:ascii="宋体" w:hAnsi="宋体"/>
          <w:b/>
          <w:bCs/>
          <w:sz w:val="24"/>
        </w:rPr>
        <w:t>服务费，并</w:t>
      </w:r>
      <w:r>
        <w:rPr>
          <w:rFonts w:hint="eastAsia" w:ascii="宋体" w:hAnsi="宋体"/>
          <w:b/>
          <w:bCs/>
          <w:sz w:val="24"/>
          <w:lang w:eastAsia="zh-CN"/>
        </w:rPr>
        <w:t>每人次</w:t>
      </w:r>
      <w:r>
        <w:rPr>
          <w:rFonts w:hint="eastAsia" w:ascii="宋体" w:hAnsi="宋体"/>
          <w:b/>
          <w:bCs/>
          <w:sz w:val="24"/>
        </w:rPr>
        <w:t>处以</w:t>
      </w:r>
      <w:r>
        <w:rPr>
          <w:rFonts w:hint="eastAsia" w:ascii="宋体" w:hAnsi="宋体"/>
          <w:b/>
          <w:bCs/>
          <w:sz w:val="24"/>
          <w:lang w:val="en-US" w:eastAsia="zh-CN"/>
        </w:rPr>
        <w:t>1000元</w:t>
      </w:r>
      <w:r>
        <w:rPr>
          <w:rFonts w:hint="eastAsia" w:ascii="宋体" w:hAnsi="宋体"/>
          <w:b/>
          <w:bCs/>
          <w:sz w:val="24"/>
        </w:rPr>
        <w:t>罚款。</w:t>
      </w:r>
    </w:p>
    <w:p w14:paraId="4216C306">
      <w:pPr>
        <w:spacing w:line="360" w:lineRule="auto"/>
        <w:ind w:firstLine="480" w:firstLineChars="200"/>
        <w:rPr>
          <w:rFonts w:hint="eastAsia" w:ascii="宋体" w:hAnsi="宋体"/>
          <w:sz w:val="24"/>
        </w:rPr>
      </w:pPr>
      <w:r>
        <w:rPr>
          <w:rFonts w:hint="eastAsia" w:ascii="宋体" w:hAnsi="宋体"/>
          <w:sz w:val="24"/>
        </w:rPr>
        <w:t>7、</w:t>
      </w:r>
      <w:r>
        <w:rPr>
          <w:rFonts w:hint="eastAsia" w:ascii="宋体" w:hAnsi="宋体"/>
          <w:sz w:val="24"/>
          <w:lang w:eastAsia="zh-CN"/>
        </w:rPr>
        <w:t>乙方</w:t>
      </w:r>
      <w:r>
        <w:rPr>
          <w:rFonts w:hint="eastAsia" w:ascii="宋体" w:hAnsi="宋体"/>
          <w:sz w:val="24"/>
        </w:rPr>
        <w:t>的项目经理应定期来现场对运维情况进行现场观摩和检查，了解现场驻场人员的工作情况和心理情况，及时沟通解决他们的困难，使其安心工作；并定期安排系统工程师对现场情况进行巡检，排查和解决运维过程中的疑难问题和技术问题；定期对驻场运维人员进行服务意识、服务质量、协作意识和系统设备方面的新技术、设备维护的操作技术和故障处理的方法等方面的培训，从而提升驻场技术人员的全面素质。</w:t>
      </w:r>
    </w:p>
    <w:p w14:paraId="634853B3">
      <w:pPr>
        <w:spacing w:line="360" w:lineRule="auto"/>
        <w:ind w:firstLine="480" w:firstLineChars="200"/>
        <w:rPr>
          <w:rFonts w:ascii="宋体" w:hAnsi="宋体"/>
          <w:sz w:val="24"/>
        </w:rPr>
      </w:pPr>
      <w:r>
        <w:rPr>
          <w:rFonts w:hint="eastAsia" w:ascii="宋体" w:hAnsi="宋体"/>
          <w:sz w:val="24"/>
          <w:lang w:val="en-US" w:eastAsia="zh-CN"/>
        </w:rPr>
        <w:t>8</w:t>
      </w:r>
      <w:r>
        <w:rPr>
          <w:rFonts w:hint="eastAsia" w:ascii="宋体" w:hAnsi="宋体"/>
          <w:sz w:val="24"/>
        </w:rPr>
        <w:t>、驻场人员应做好信息保密和网络安全保障工作，未经许可，不得私自备份和传播敏感资料和数据信息。</w:t>
      </w:r>
    </w:p>
    <w:p w14:paraId="2CA3B81F">
      <w:pPr>
        <w:spacing w:line="360" w:lineRule="auto"/>
        <w:ind w:firstLine="480" w:firstLineChars="200"/>
        <w:rPr>
          <w:rFonts w:ascii="宋体" w:hAnsi="宋体"/>
          <w:sz w:val="24"/>
        </w:rPr>
      </w:pPr>
      <w:r>
        <w:rPr>
          <w:rFonts w:hint="eastAsia" w:ascii="宋体" w:hAnsi="宋体"/>
          <w:sz w:val="24"/>
          <w:lang w:val="en-US" w:eastAsia="zh-CN"/>
        </w:rPr>
        <w:t>9</w:t>
      </w:r>
      <w:r>
        <w:rPr>
          <w:rFonts w:hint="eastAsia" w:ascii="宋体" w:hAnsi="宋体"/>
          <w:sz w:val="24"/>
        </w:rPr>
        <w:t>、</w:t>
      </w:r>
      <w:r>
        <w:rPr>
          <w:rFonts w:hint="eastAsia" w:ascii="宋体" w:hAnsi="宋体"/>
          <w:sz w:val="24"/>
          <w:lang w:eastAsia="zh-CN"/>
        </w:rPr>
        <w:t>甲方</w:t>
      </w:r>
      <w:r>
        <w:rPr>
          <w:rFonts w:hint="eastAsia" w:ascii="宋体" w:hAnsi="宋体"/>
          <w:sz w:val="24"/>
        </w:rPr>
        <w:t>为驻场人员提供固定的办公场所和办公电脑，</w:t>
      </w:r>
      <w:r>
        <w:rPr>
          <w:rFonts w:hint="eastAsia" w:ascii="宋体" w:hAnsi="宋体"/>
          <w:sz w:val="24"/>
          <w:lang w:val="en-US" w:eastAsia="zh-CN"/>
        </w:rPr>
        <w:t>以及从事日常服务和</w:t>
      </w:r>
      <w:r>
        <w:rPr>
          <w:rFonts w:hint="eastAsia" w:ascii="宋体" w:hAnsi="宋体"/>
          <w:sz w:val="24"/>
        </w:rPr>
        <w:t>维修</w:t>
      </w:r>
      <w:r>
        <w:rPr>
          <w:rFonts w:hint="eastAsia" w:ascii="宋体" w:hAnsi="宋体"/>
          <w:sz w:val="24"/>
          <w:lang w:val="en-US" w:eastAsia="zh-CN"/>
        </w:rPr>
        <w:t>的必要</w:t>
      </w:r>
      <w:r>
        <w:rPr>
          <w:rFonts w:hint="eastAsia" w:ascii="宋体" w:hAnsi="宋体"/>
          <w:sz w:val="24"/>
        </w:rPr>
        <w:t>工具</w:t>
      </w:r>
      <w:r>
        <w:rPr>
          <w:rFonts w:hint="eastAsia" w:ascii="宋体" w:hAnsi="宋体"/>
          <w:sz w:val="24"/>
          <w:lang w:val="en-US" w:eastAsia="zh-CN"/>
        </w:rPr>
        <w:t>和耗材</w:t>
      </w:r>
      <w:r>
        <w:rPr>
          <w:rFonts w:hint="eastAsia" w:ascii="宋体" w:hAnsi="宋体"/>
          <w:sz w:val="24"/>
        </w:rPr>
        <w:t>。</w:t>
      </w:r>
    </w:p>
    <w:p w14:paraId="500CD2E4">
      <w:pPr>
        <w:spacing w:line="360" w:lineRule="auto"/>
        <w:ind w:firstLine="480" w:firstLineChars="200"/>
        <w:rPr>
          <w:rFonts w:ascii="宋体" w:hAnsi="宋体"/>
          <w:sz w:val="24"/>
        </w:rPr>
      </w:pPr>
      <w:r>
        <w:rPr>
          <w:rFonts w:hint="eastAsia" w:ascii="宋体" w:hAnsi="宋体"/>
          <w:sz w:val="24"/>
          <w:lang w:val="en-US" w:eastAsia="zh-CN"/>
        </w:rPr>
        <w:t>10</w:t>
      </w:r>
      <w:r>
        <w:rPr>
          <w:rFonts w:hint="eastAsia" w:ascii="宋体" w:hAnsi="宋体"/>
          <w:sz w:val="24"/>
        </w:rPr>
        <w:t>、</w:t>
      </w:r>
      <w:r>
        <w:rPr>
          <w:rFonts w:hint="eastAsia" w:ascii="宋体" w:hAnsi="宋体"/>
          <w:sz w:val="24"/>
          <w:lang w:eastAsia="zh-CN"/>
        </w:rPr>
        <w:t>乙方</w:t>
      </w:r>
      <w:r>
        <w:rPr>
          <w:rFonts w:hint="eastAsia" w:ascii="宋体" w:hAnsi="宋体"/>
          <w:sz w:val="24"/>
        </w:rPr>
        <w:t>应慎重选派合适人员，确保派遣人员能够胜任</w:t>
      </w:r>
      <w:r>
        <w:rPr>
          <w:rFonts w:hint="eastAsia" w:ascii="宋体" w:hAnsi="宋体"/>
          <w:sz w:val="24"/>
          <w:lang w:eastAsia="zh-CN"/>
        </w:rPr>
        <w:t>甲方</w:t>
      </w:r>
      <w:r>
        <w:rPr>
          <w:rFonts w:hint="eastAsia" w:ascii="宋体" w:hAnsi="宋体"/>
          <w:sz w:val="24"/>
        </w:rPr>
        <w:t>的要求。驻场人员需有两周试用期，试用期内如不能适应或者胜任工作，</w:t>
      </w:r>
      <w:r>
        <w:rPr>
          <w:rFonts w:hint="eastAsia" w:ascii="宋体" w:hAnsi="宋体"/>
          <w:sz w:val="24"/>
          <w:lang w:eastAsia="zh-CN"/>
        </w:rPr>
        <w:t>乙方</w:t>
      </w:r>
      <w:r>
        <w:rPr>
          <w:rFonts w:hint="eastAsia" w:ascii="宋体" w:hAnsi="宋体"/>
          <w:sz w:val="24"/>
        </w:rPr>
        <w:t>须按</w:t>
      </w:r>
      <w:r>
        <w:rPr>
          <w:rFonts w:hint="eastAsia" w:ascii="宋体" w:hAnsi="宋体"/>
          <w:sz w:val="24"/>
          <w:lang w:eastAsia="zh-CN"/>
        </w:rPr>
        <w:t>甲方</w:t>
      </w:r>
      <w:r>
        <w:rPr>
          <w:rFonts w:hint="eastAsia" w:ascii="宋体" w:hAnsi="宋体"/>
          <w:sz w:val="24"/>
        </w:rPr>
        <w:t>要求更换人员，同时该两周试用期不计入运维服务期。若连续两个试用期仍不能胜任工作，</w:t>
      </w:r>
      <w:r>
        <w:rPr>
          <w:rFonts w:hint="eastAsia" w:ascii="宋体" w:hAnsi="宋体"/>
          <w:b/>
          <w:bCs/>
          <w:sz w:val="24"/>
          <w:lang w:eastAsia="zh-CN"/>
        </w:rPr>
        <w:t>每发生一次，甲方</w:t>
      </w:r>
      <w:r>
        <w:rPr>
          <w:rFonts w:hint="eastAsia" w:ascii="宋体" w:hAnsi="宋体"/>
          <w:b/>
          <w:bCs/>
          <w:sz w:val="24"/>
        </w:rPr>
        <w:t>将从服务费中扣除</w:t>
      </w:r>
      <w:r>
        <w:rPr>
          <w:rFonts w:hint="eastAsia" w:ascii="宋体" w:hAnsi="宋体"/>
          <w:b/>
          <w:bCs/>
          <w:sz w:val="24"/>
          <w:lang w:val="en-US" w:eastAsia="zh-CN"/>
        </w:rPr>
        <w:t>2000元</w:t>
      </w:r>
      <w:r>
        <w:rPr>
          <w:rFonts w:hint="eastAsia" w:ascii="宋体" w:hAnsi="宋体"/>
          <w:b/>
          <w:bCs/>
          <w:sz w:val="24"/>
        </w:rPr>
        <w:t>费用。</w:t>
      </w:r>
    </w:p>
    <w:p w14:paraId="713269ED">
      <w:pPr>
        <w:spacing w:line="360" w:lineRule="auto"/>
        <w:ind w:firstLine="480" w:firstLineChars="200"/>
        <w:rPr>
          <w:rFonts w:ascii="宋体" w:hAnsi="宋体"/>
          <w:sz w:val="24"/>
        </w:rPr>
      </w:pPr>
      <w:r>
        <w:rPr>
          <w:rFonts w:hint="eastAsia" w:ascii="宋体" w:hAnsi="宋体"/>
          <w:sz w:val="24"/>
          <w:lang w:val="en-US" w:eastAsia="zh-CN"/>
        </w:rPr>
        <w:t>11</w:t>
      </w:r>
      <w:r>
        <w:rPr>
          <w:rFonts w:hint="eastAsia" w:ascii="宋体" w:hAnsi="宋体"/>
          <w:sz w:val="24"/>
        </w:rPr>
        <w:t>、若遇到突发情况如疫情防控、重大活动保障等，</w:t>
      </w:r>
      <w:r>
        <w:rPr>
          <w:rFonts w:hint="eastAsia" w:ascii="宋体" w:hAnsi="宋体"/>
          <w:sz w:val="24"/>
          <w:lang w:eastAsia="zh-CN"/>
        </w:rPr>
        <w:t>甲方</w:t>
      </w:r>
      <w:r>
        <w:rPr>
          <w:rFonts w:hint="eastAsia" w:ascii="宋体" w:hAnsi="宋体"/>
          <w:sz w:val="24"/>
        </w:rPr>
        <w:t>有权根据实际情况安排驻场人员，包括但不限于场地派遣、按要求住校等要求。</w:t>
      </w:r>
    </w:p>
    <w:p w14:paraId="225618C8">
      <w:pPr>
        <w:spacing w:line="360" w:lineRule="auto"/>
        <w:ind w:firstLine="480" w:firstLineChars="200"/>
        <w:rPr>
          <w:rFonts w:ascii="宋体" w:hAnsi="宋体"/>
          <w:sz w:val="24"/>
        </w:rPr>
      </w:pPr>
      <w:r>
        <w:rPr>
          <w:rFonts w:hint="eastAsia" w:ascii="宋体" w:hAnsi="宋体"/>
          <w:sz w:val="24"/>
        </w:rPr>
        <w:t>12、驻场人员其工资、社保、雇佣合同等手续由</w:t>
      </w:r>
      <w:r>
        <w:rPr>
          <w:rFonts w:hint="eastAsia" w:ascii="宋体" w:hAnsi="宋体"/>
          <w:sz w:val="24"/>
          <w:lang w:eastAsia="zh-CN"/>
        </w:rPr>
        <w:t>乙方</w:t>
      </w:r>
      <w:r>
        <w:rPr>
          <w:rFonts w:hint="eastAsia" w:ascii="宋体" w:hAnsi="宋体"/>
          <w:sz w:val="24"/>
        </w:rPr>
        <w:t>负责，在实施服务过程中驻场人员所发生的一切经济纠纷、安全事故、社会关系等事务，统一由</w:t>
      </w:r>
      <w:r>
        <w:rPr>
          <w:rFonts w:hint="eastAsia" w:ascii="宋体" w:hAnsi="宋体"/>
          <w:sz w:val="24"/>
          <w:lang w:eastAsia="zh-CN"/>
        </w:rPr>
        <w:t>乙方</w:t>
      </w:r>
      <w:r>
        <w:rPr>
          <w:rFonts w:hint="eastAsia" w:ascii="宋体" w:hAnsi="宋体"/>
          <w:sz w:val="24"/>
        </w:rPr>
        <w:t>承担和处置，</w:t>
      </w:r>
      <w:r>
        <w:rPr>
          <w:rFonts w:hint="eastAsia" w:ascii="宋体" w:hAnsi="宋体"/>
          <w:sz w:val="24"/>
          <w:lang w:eastAsia="zh-CN"/>
        </w:rPr>
        <w:t>甲方</w:t>
      </w:r>
      <w:r>
        <w:rPr>
          <w:rFonts w:hint="eastAsia" w:ascii="宋体" w:hAnsi="宋体"/>
          <w:sz w:val="24"/>
        </w:rPr>
        <w:t>不承担连带责任，如果甲方先行承担责任，有权向乙方追偿；在服务过程中，如果因人员失误或者劳务纠纷等给学校带来损失，</w:t>
      </w:r>
      <w:r>
        <w:rPr>
          <w:rFonts w:hint="eastAsia" w:ascii="宋体" w:hAnsi="宋体"/>
          <w:sz w:val="24"/>
          <w:lang w:eastAsia="zh-CN"/>
        </w:rPr>
        <w:t>甲方</w:t>
      </w:r>
      <w:r>
        <w:rPr>
          <w:rFonts w:hint="eastAsia" w:ascii="宋体" w:hAnsi="宋体"/>
          <w:sz w:val="24"/>
        </w:rPr>
        <w:t>将从</w:t>
      </w:r>
      <w:r>
        <w:rPr>
          <w:rFonts w:hint="eastAsia" w:ascii="宋体" w:hAnsi="宋体"/>
          <w:sz w:val="24"/>
          <w:lang w:eastAsia="zh-CN"/>
        </w:rPr>
        <w:t>乙方</w:t>
      </w:r>
      <w:r>
        <w:rPr>
          <w:rFonts w:hint="eastAsia" w:ascii="宋体" w:hAnsi="宋体"/>
          <w:sz w:val="24"/>
        </w:rPr>
        <w:t>服务费用中扣除适当费用；如果损害学校声誉造成恶劣影响，</w:t>
      </w:r>
      <w:r>
        <w:rPr>
          <w:rFonts w:hint="eastAsia" w:ascii="宋体" w:hAnsi="宋体"/>
          <w:sz w:val="24"/>
          <w:lang w:eastAsia="zh-CN"/>
        </w:rPr>
        <w:t>甲方</w:t>
      </w:r>
      <w:r>
        <w:rPr>
          <w:rFonts w:hint="eastAsia" w:ascii="宋体" w:hAnsi="宋体"/>
          <w:sz w:val="24"/>
        </w:rPr>
        <w:t>除扣除一定服务费外，还将走法律诉讼程序，法律诉讼相关费用由</w:t>
      </w:r>
      <w:r>
        <w:rPr>
          <w:rFonts w:hint="eastAsia" w:ascii="宋体" w:hAnsi="宋体"/>
          <w:sz w:val="24"/>
          <w:lang w:eastAsia="zh-CN"/>
        </w:rPr>
        <w:t>乙方</w:t>
      </w:r>
      <w:r>
        <w:rPr>
          <w:rFonts w:hint="eastAsia" w:ascii="宋体" w:hAnsi="宋体"/>
          <w:sz w:val="24"/>
        </w:rPr>
        <w:t>全部承担。</w:t>
      </w:r>
    </w:p>
    <w:p w14:paraId="6827CE6B">
      <w:pPr>
        <w:spacing w:line="360" w:lineRule="auto"/>
        <w:ind w:firstLine="480" w:firstLineChars="200"/>
        <w:rPr>
          <w:rFonts w:ascii="宋体" w:hAnsi="宋体"/>
          <w:sz w:val="24"/>
        </w:rPr>
      </w:pPr>
      <w:r>
        <w:rPr>
          <w:rFonts w:hint="eastAsia" w:ascii="宋体" w:hAnsi="宋体"/>
          <w:sz w:val="24"/>
        </w:rPr>
        <w:t>13、每季度《驻场人员技术服务评价单》评价项里有一项评价为“较差”或者“不满足”，</w:t>
      </w:r>
      <w:r>
        <w:rPr>
          <w:rFonts w:hint="eastAsia" w:ascii="宋体" w:hAnsi="宋体"/>
          <w:sz w:val="24"/>
          <w:lang w:eastAsia="zh-CN"/>
        </w:rPr>
        <w:t>甲方</w:t>
      </w:r>
      <w:r>
        <w:rPr>
          <w:rFonts w:hint="eastAsia" w:ascii="宋体" w:hAnsi="宋体"/>
          <w:sz w:val="24"/>
        </w:rPr>
        <w:t>将扣除</w:t>
      </w:r>
      <w:r>
        <w:rPr>
          <w:rFonts w:hint="eastAsia" w:ascii="宋体" w:hAnsi="宋体"/>
          <w:sz w:val="24"/>
          <w:lang w:eastAsia="zh-CN"/>
        </w:rPr>
        <w:t>当期服务费的</w:t>
      </w:r>
      <w:r>
        <w:rPr>
          <w:rFonts w:hint="eastAsia" w:ascii="宋体" w:hAnsi="宋体"/>
          <w:b/>
          <w:bCs/>
          <w:sz w:val="24"/>
          <w:lang w:val="en-US" w:eastAsia="zh-CN"/>
        </w:rPr>
        <w:t>10%</w:t>
      </w:r>
      <w:r>
        <w:rPr>
          <w:rFonts w:hint="eastAsia" w:ascii="宋体" w:hAnsi="宋体"/>
          <w:sz w:val="24"/>
        </w:rPr>
        <w:t>，全年累计达到</w:t>
      </w:r>
      <w:r>
        <w:rPr>
          <w:rFonts w:hint="eastAsia" w:ascii="宋体" w:hAnsi="宋体"/>
          <w:b/>
          <w:bCs/>
          <w:sz w:val="24"/>
        </w:rPr>
        <w:t>3次</w:t>
      </w:r>
      <w:r>
        <w:rPr>
          <w:rFonts w:hint="eastAsia" w:ascii="宋体" w:hAnsi="宋体"/>
          <w:sz w:val="24"/>
        </w:rPr>
        <w:t>“较差”或“不满意”，则最后一期服务费</w:t>
      </w:r>
      <w:r>
        <w:rPr>
          <w:rFonts w:hint="eastAsia" w:ascii="宋体" w:hAnsi="宋体"/>
          <w:b/>
          <w:bCs/>
          <w:sz w:val="24"/>
        </w:rPr>
        <w:t>不予支付</w:t>
      </w:r>
      <w:r>
        <w:rPr>
          <w:rFonts w:hint="eastAsia" w:ascii="宋体" w:hAnsi="宋体"/>
          <w:sz w:val="24"/>
        </w:rPr>
        <w:t>。</w:t>
      </w:r>
    </w:p>
    <w:p w14:paraId="5011862E">
      <w:pPr>
        <w:spacing w:line="360" w:lineRule="auto"/>
        <w:rPr>
          <w:rFonts w:ascii="宋体" w:hAnsi="宋体" w:cs="仿宋"/>
          <w:b/>
          <w:sz w:val="24"/>
        </w:rPr>
      </w:pPr>
      <w:r>
        <w:rPr>
          <w:rFonts w:hint="eastAsia" w:ascii="宋体" w:hAnsi="宋体" w:cs="仿宋"/>
          <w:b/>
          <w:sz w:val="24"/>
        </w:rPr>
        <w:t>四、收费及结算方式</w:t>
      </w:r>
    </w:p>
    <w:p w14:paraId="53005D94">
      <w:pPr>
        <w:spacing w:line="360" w:lineRule="auto"/>
        <w:ind w:firstLine="480" w:firstLineChars="200"/>
        <w:rPr>
          <w:rFonts w:ascii="宋体" w:hAnsi="宋体" w:cs="仿宋"/>
          <w:sz w:val="24"/>
        </w:rPr>
      </w:pPr>
      <w:r>
        <w:rPr>
          <w:rFonts w:hint="eastAsia" w:ascii="宋体" w:hAnsi="宋体" w:cs="仿宋"/>
          <w:sz w:val="24"/>
        </w:rPr>
        <w:t>1、维护期限：自</w:t>
      </w:r>
      <w:r>
        <w:rPr>
          <w:rFonts w:hint="eastAsia" w:ascii="宋体" w:hAnsi="宋体" w:cs="仿宋"/>
          <w:sz w:val="24"/>
          <w:u w:val="single"/>
        </w:rPr>
        <w:t xml:space="preserve"> </w:t>
      </w:r>
      <w:r>
        <w:rPr>
          <w:rFonts w:ascii="宋体" w:hAnsi="宋体" w:cs="仿宋"/>
          <w:sz w:val="24"/>
          <w:u w:val="single"/>
        </w:rPr>
        <w:t>202</w:t>
      </w:r>
      <w:r>
        <w:rPr>
          <w:rFonts w:hint="eastAsia" w:ascii="宋体" w:hAnsi="宋体" w:cs="仿宋"/>
          <w:sz w:val="24"/>
          <w:u w:val="single"/>
          <w:lang w:val="en-US" w:eastAsia="zh-CN"/>
        </w:rPr>
        <w:t>6</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日至</w:t>
      </w:r>
      <w:r>
        <w:rPr>
          <w:rFonts w:hint="eastAsia" w:ascii="宋体" w:hAnsi="宋体" w:cs="仿宋"/>
          <w:sz w:val="24"/>
          <w:u w:val="single"/>
        </w:rPr>
        <w:t xml:space="preserve"> </w:t>
      </w:r>
      <w:r>
        <w:rPr>
          <w:rFonts w:ascii="宋体" w:hAnsi="宋体" w:cs="仿宋"/>
          <w:sz w:val="24"/>
          <w:u w:val="single"/>
        </w:rPr>
        <w:t>202</w:t>
      </w:r>
      <w:r>
        <w:rPr>
          <w:rFonts w:hint="eastAsia" w:ascii="宋体" w:hAnsi="宋体" w:cs="仿宋"/>
          <w:sz w:val="24"/>
          <w:u w:val="single"/>
          <w:lang w:val="en-US" w:eastAsia="zh-CN"/>
        </w:rPr>
        <w:t>6</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日止，共1年，维护期限内服务内容、标准及费用不变。</w:t>
      </w:r>
    </w:p>
    <w:p w14:paraId="774017A8">
      <w:pPr>
        <w:spacing w:line="360" w:lineRule="auto"/>
        <w:ind w:firstLine="480" w:firstLineChars="200"/>
        <w:rPr>
          <w:rFonts w:ascii="宋体" w:hAnsi="宋体" w:cs="仿宋"/>
          <w:sz w:val="24"/>
        </w:rPr>
      </w:pPr>
      <w:r>
        <w:rPr>
          <w:rFonts w:hint="eastAsia" w:ascii="宋体" w:hAnsi="宋体" w:cs="仿宋"/>
          <w:sz w:val="24"/>
        </w:rPr>
        <w:t>2、壹年期服务费大写：</w:t>
      </w:r>
      <w:r>
        <w:rPr>
          <w:rFonts w:hint="eastAsia" w:ascii="宋体" w:hAnsi="宋体" w:cs="仿宋"/>
          <w:sz w:val="24"/>
          <w:u w:val="single"/>
          <w:lang w:val="en-US" w:eastAsia="zh-CN"/>
        </w:rPr>
        <w:t xml:space="preserve">       </w:t>
      </w:r>
      <w:r>
        <w:rPr>
          <w:rFonts w:hint="eastAsia" w:ascii="宋体" w:hAnsi="宋体" w:cs="仿宋"/>
          <w:sz w:val="24"/>
          <w:u w:val="single"/>
        </w:rPr>
        <w:t>元整</w:t>
      </w:r>
      <w:r>
        <w:rPr>
          <w:rFonts w:hint="eastAsia" w:ascii="宋体" w:hAnsi="宋体" w:cs="仿宋"/>
          <w:sz w:val="24"/>
        </w:rPr>
        <w:t>，小写：</w:t>
      </w:r>
      <w:r>
        <w:rPr>
          <w:rFonts w:hint="eastAsia" w:ascii="宋体" w:hAnsi="宋体" w:cs="仿宋"/>
          <w:sz w:val="24"/>
          <w:u w:val="single"/>
          <w:lang w:val="en-US" w:eastAsia="zh-CN"/>
        </w:rPr>
        <w:t xml:space="preserve">      </w:t>
      </w:r>
      <w:r>
        <w:rPr>
          <w:rFonts w:hint="eastAsia" w:ascii="宋体" w:hAnsi="宋体" w:cs="仿宋"/>
          <w:sz w:val="24"/>
          <w:u w:val="single"/>
        </w:rPr>
        <w:t>.00</w:t>
      </w:r>
      <w:r>
        <w:rPr>
          <w:rFonts w:hint="eastAsia" w:ascii="宋体" w:hAnsi="宋体" w:cs="仿宋"/>
          <w:sz w:val="24"/>
        </w:rPr>
        <w:t>元。</w:t>
      </w:r>
    </w:p>
    <w:p w14:paraId="2E90AF72">
      <w:pPr>
        <w:spacing w:line="360" w:lineRule="auto"/>
        <w:ind w:firstLine="480" w:firstLineChars="200"/>
        <w:rPr>
          <w:rFonts w:ascii="宋体" w:hAnsi="宋体" w:cs="仿宋"/>
          <w:color w:val="000000"/>
          <w:sz w:val="24"/>
        </w:rPr>
      </w:pPr>
      <w:r>
        <w:rPr>
          <w:rFonts w:hint="eastAsia" w:ascii="宋体" w:hAnsi="宋体" w:cs="宋体"/>
          <w:color w:val="000000"/>
          <w:sz w:val="24"/>
          <w:szCs w:val="24"/>
        </w:rPr>
        <w:t>3、本次服务期为1年。在政策允许、服务范围不变，中标价和主要条款不变的情况下，如果本轮合同结束，乙方通过甲方专项考评，成绩达到优秀以上，双方协商一致同意，可以按照1年+1年+1年的模式续签合同，合同期限最多不超过3年。</w:t>
      </w:r>
    </w:p>
    <w:p w14:paraId="41847A22">
      <w:pPr>
        <w:spacing w:line="360" w:lineRule="auto"/>
        <w:ind w:firstLine="480" w:firstLineChars="200"/>
        <w:rPr>
          <w:rFonts w:ascii="宋体" w:hAnsi="宋体" w:cs="仿宋"/>
          <w:sz w:val="24"/>
        </w:rPr>
      </w:pPr>
      <w:r>
        <w:rPr>
          <w:rFonts w:hint="eastAsia" w:ascii="宋体" w:hAnsi="宋体" w:cs="仿宋"/>
          <w:sz w:val="24"/>
        </w:rPr>
        <w:t>4、以上</w:t>
      </w:r>
      <w:r>
        <w:rPr>
          <w:rFonts w:hint="eastAsia" w:ascii="宋体" w:hAnsi="宋体" w:cs="宋体"/>
          <w:kern w:val="0"/>
          <w:sz w:val="24"/>
        </w:rPr>
        <w:t>合同总价一次性包死，包括但不限于</w:t>
      </w:r>
      <w:r>
        <w:rPr>
          <w:rFonts w:hint="eastAsia" w:ascii="宋体" w:hAnsi="宋体" w:cs="仿宋"/>
          <w:sz w:val="24"/>
        </w:rPr>
        <w:t>技术服务人员劳务及管理等费用；设备维修费、配件材料费等由甲方提供或委托乙方采购，实报实销。</w:t>
      </w:r>
    </w:p>
    <w:p w14:paraId="4CA04430">
      <w:pPr>
        <w:spacing w:line="360" w:lineRule="auto"/>
        <w:ind w:firstLine="480" w:firstLineChars="200"/>
        <w:rPr>
          <w:rFonts w:ascii="宋体" w:hAnsi="宋体" w:cs="仿宋"/>
          <w:sz w:val="24"/>
        </w:rPr>
      </w:pPr>
      <w:r>
        <w:rPr>
          <w:rFonts w:hint="eastAsia" w:ascii="宋体" w:hAnsi="宋体" w:cs="仿宋"/>
          <w:sz w:val="24"/>
        </w:rPr>
        <w:t>5、甲方如有增加维护的网络设备或外设，双方可另签维护服务合同，也可在本合同后附加补充合同，与、 本合同具有同等法律效力。</w:t>
      </w:r>
    </w:p>
    <w:p w14:paraId="78B642DD">
      <w:pPr>
        <w:spacing w:line="360" w:lineRule="auto"/>
        <w:ind w:firstLine="480" w:firstLineChars="200"/>
        <w:rPr>
          <w:rFonts w:hint="eastAsia" w:ascii="宋体" w:hAnsi="宋体" w:cs="宋体"/>
          <w:sz w:val="24"/>
          <w:szCs w:val="24"/>
        </w:rPr>
      </w:pPr>
      <w:r>
        <w:rPr>
          <w:rFonts w:hint="eastAsia" w:ascii="宋体" w:hAnsi="宋体" w:cs="仿宋"/>
          <w:sz w:val="24"/>
        </w:rPr>
        <w:t>6、付款方式</w:t>
      </w:r>
      <w:r>
        <w:rPr>
          <w:rFonts w:hint="eastAsia" w:ascii="宋体" w:hAnsi="宋体" w:cs="宋体"/>
          <w:sz w:val="24"/>
          <w:szCs w:val="24"/>
        </w:rPr>
        <w:t>按季度结算；第一季度最后一个月末支付（如遇假期，适当顺延），达到付款条件起 30 日内，支付合同总金额的25%。</w:t>
      </w:r>
    </w:p>
    <w:p w14:paraId="6E0B19BC">
      <w:pPr>
        <w:spacing w:line="360" w:lineRule="auto"/>
        <w:ind w:firstLine="480" w:firstLineChars="200"/>
        <w:rPr>
          <w:rFonts w:hint="eastAsia" w:ascii="宋体" w:hAnsi="宋体" w:cs="宋体"/>
          <w:sz w:val="24"/>
          <w:szCs w:val="24"/>
        </w:rPr>
      </w:pPr>
      <w:r>
        <w:rPr>
          <w:rFonts w:hint="eastAsia" w:ascii="宋体" w:hAnsi="宋体" w:cs="宋体"/>
          <w:sz w:val="24"/>
          <w:szCs w:val="24"/>
        </w:rPr>
        <w:t>第二季度最后一个月末支付（如遇假期，适当顺延），达到付款条件起 30 日内，支付合同总金额的25%。</w:t>
      </w:r>
    </w:p>
    <w:p w14:paraId="39D9148C">
      <w:pPr>
        <w:spacing w:line="360" w:lineRule="auto"/>
        <w:ind w:firstLine="480" w:firstLineChars="200"/>
        <w:rPr>
          <w:rFonts w:hint="eastAsia" w:ascii="宋体" w:hAnsi="宋体" w:cs="宋体"/>
          <w:sz w:val="24"/>
          <w:szCs w:val="24"/>
        </w:rPr>
      </w:pPr>
      <w:r>
        <w:rPr>
          <w:rFonts w:hint="eastAsia" w:ascii="宋体" w:hAnsi="宋体" w:cs="宋体"/>
          <w:sz w:val="24"/>
          <w:szCs w:val="24"/>
        </w:rPr>
        <w:t>第三季度最后一个月末支付（如遇假期，适当顺延），达到付款条件起 30 日内，支付合同总金额的25%。</w:t>
      </w:r>
    </w:p>
    <w:p w14:paraId="38F6ECA9">
      <w:pPr>
        <w:spacing w:line="360" w:lineRule="auto"/>
        <w:ind w:firstLine="480" w:firstLineChars="200"/>
        <w:rPr>
          <w:rFonts w:ascii="宋体" w:hAnsi="宋体" w:cs="仿宋"/>
          <w:sz w:val="24"/>
        </w:rPr>
      </w:pPr>
      <w:r>
        <w:rPr>
          <w:rFonts w:hint="eastAsia" w:ascii="宋体" w:hAnsi="宋体" w:cs="宋体"/>
          <w:sz w:val="24"/>
          <w:szCs w:val="24"/>
        </w:rPr>
        <w:t xml:space="preserve">第四季度最后一个月末支付（如遇假期，适当顺延），经服务监督管理部门根据服务评价结果按标准扣除后支付，达到付款条件起 30 日内，支付合同总金额的25%。   </w:t>
      </w:r>
    </w:p>
    <w:p w14:paraId="093D02CE">
      <w:pPr>
        <w:spacing w:line="360" w:lineRule="auto"/>
        <w:rPr>
          <w:rFonts w:ascii="宋体" w:hAnsi="宋体" w:cs="仿宋"/>
          <w:b/>
          <w:sz w:val="24"/>
        </w:rPr>
      </w:pPr>
      <w:r>
        <w:rPr>
          <w:rFonts w:hint="eastAsia" w:ascii="宋体" w:hAnsi="宋体" w:cs="仿宋"/>
          <w:b/>
          <w:sz w:val="24"/>
        </w:rPr>
        <w:t>五、合同终止条款</w:t>
      </w:r>
    </w:p>
    <w:p w14:paraId="7780D315">
      <w:pPr>
        <w:spacing w:line="360" w:lineRule="auto"/>
        <w:ind w:firstLine="480" w:firstLineChars="200"/>
        <w:rPr>
          <w:rFonts w:ascii="宋体" w:hAnsi="宋体" w:cs="仿宋"/>
          <w:sz w:val="24"/>
        </w:rPr>
      </w:pPr>
      <w:r>
        <w:rPr>
          <w:rFonts w:hint="eastAsia" w:ascii="宋体" w:hAnsi="宋体" w:cs="仿宋"/>
          <w:sz w:val="24"/>
        </w:rPr>
        <w:t>1、乙方在维护服务过程中，如存在泄露甲方商业机密等情况的，甲方有权终止本合同。</w:t>
      </w:r>
    </w:p>
    <w:p w14:paraId="2AD23484">
      <w:pPr>
        <w:spacing w:line="360" w:lineRule="auto"/>
        <w:ind w:firstLine="480" w:firstLineChars="200"/>
        <w:rPr>
          <w:rFonts w:ascii="宋体" w:hAnsi="宋体" w:cs="仿宋"/>
          <w:sz w:val="24"/>
        </w:rPr>
      </w:pPr>
      <w:r>
        <w:rPr>
          <w:rFonts w:hint="eastAsia" w:ascii="宋体" w:hAnsi="宋体" w:cs="仿宋"/>
          <w:sz w:val="24"/>
        </w:rPr>
        <w:t>2、乙方在维护服务过程中，未能按照合同约定内容及标准提供服务，甲方有权终止本合同。</w:t>
      </w:r>
    </w:p>
    <w:p w14:paraId="7A8FA890">
      <w:pPr>
        <w:spacing w:line="360" w:lineRule="auto"/>
        <w:ind w:firstLine="480" w:firstLineChars="200"/>
        <w:rPr>
          <w:rFonts w:ascii="宋体" w:hAnsi="宋体" w:cs="仿宋"/>
          <w:sz w:val="24"/>
        </w:rPr>
      </w:pPr>
      <w:r>
        <w:rPr>
          <w:rFonts w:hint="eastAsia" w:ascii="宋体" w:hAnsi="宋体" w:cs="仿宋"/>
          <w:sz w:val="24"/>
        </w:rPr>
        <w:t>3、甲、乙双方若无法在本合同执行期内按合同有关内容进行服务和接受服务，且双方协商不成，甲、乙双方均可终止本合同。</w:t>
      </w:r>
    </w:p>
    <w:p w14:paraId="29B54D08">
      <w:pPr>
        <w:spacing w:line="360" w:lineRule="auto"/>
        <w:rPr>
          <w:rFonts w:ascii="宋体" w:hAnsi="宋体" w:cs="仿宋"/>
          <w:b/>
          <w:sz w:val="24"/>
        </w:rPr>
      </w:pPr>
      <w:r>
        <w:rPr>
          <w:rFonts w:hint="eastAsia" w:ascii="宋体" w:hAnsi="宋体" w:cs="仿宋"/>
          <w:b/>
          <w:sz w:val="24"/>
        </w:rPr>
        <w:t>六、违约责任</w:t>
      </w:r>
    </w:p>
    <w:p w14:paraId="0DEAC3DA">
      <w:pPr>
        <w:snapToGrid w:val="0"/>
        <w:spacing w:line="360" w:lineRule="auto"/>
        <w:ind w:firstLine="480" w:firstLineChars="200"/>
        <w:rPr>
          <w:rFonts w:ascii="宋体" w:hAnsi="宋体" w:cs="仿宋"/>
          <w:sz w:val="24"/>
        </w:rPr>
      </w:pPr>
      <w:r>
        <w:rPr>
          <w:rFonts w:hint="eastAsia" w:ascii="宋体" w:hAnsi="宋体" w:cs="仿宋"/>
          <w:sz w:val="24"/>
        </w:rPr>
        <w:t>1、若一方出现违约情况，另一方可终止合同并通过法律手段维护自身权益。</w:t>
      </w:r>
    </w:p>
    <w:p w14:paraId="09523090">
      <w:pPr>
        <w:pStyle w:val="12"/>
        <w:snapToGrid w:val="0"/>
        <w:spacing w:before="0" w:beforeAutospacing="0" w:after="0" w:afterAutospacing="0" w:line="360" w:lineRule="auto"/>
        <w:ind w:firstLine="480" w:firstLineChars="200"/>
        <w:rPr>
          <w:rFonts w:ascii="宋体" w:hAnsi="宋体" w:cs="宋体"/>
          <w:color w:val="FF0000"/>
        </w:rPr>
      </w:pPr>
      <w:r>
        <w:rPr>
          <w:rFonts w:ascii="宋体" w:hAnsi="宋体" w:cs="宋体"/>
          <w:color w:val="000000"/>
        </w:rPr>
        <w:t>2</w:t>
      </w:r>
      <w:r>
        <w:rPr>
          <w:rFonts w:hint="eastAsia" w:ascii="宋体" w:hAnsi="宋体" w:cs="宋体"/>
          <w:color w:val="000000"/>
          <w:lang w:eastAsia="zh-Hans"/>
        </w:rPr>
        <w:t>、</w:t>
      </w:r>
      <w:r>
        <w:rPr>
          <w:rFonts w:hint="eastAsia" w:ascii="宋体" w:hAnsi="宋体" w:cs="宋体"/>
          <w:color w:val="000000" w:themeColor="text1"/>
          <w:lang w:eastAsia="zh-Hans"/>
          <w14:textFill>
            <w14:solidFill>
              <w14:schemeClr w14:val="tx1"/>
            </w14:solidFill>
          </w14:textFill>
        </w:rPr>
        <w:t>若</w:t>
      </w:r>
      <w:r>
        <w:rPr>
          <w:rFonts w:hint="eastAsia" w:ascii="宋体" w:hAnsi="宋体" w:cs="宋体"/>
          <w:color w:val="000000" w:themeColor="text1"/>
          <w14:textFill>
            <w14:solidFill>
              <w14:schemeClr w14:val="tx1"/>
            </w14:solidFill>
          </w14:textFill>
        </w:rPr>
        <w:t>一</w:t>
      </w:r>
      <w:r>
        <w:rPr>
          <w:rFonts w:hint="eastAsia" w:ascii="宋体" w:hAnsi="宋体" w:cs="宋体"/>
          <w:color w:val="000000" w:themeColor="text1"/>
          <w:lang w:eastAsia="zh-Hans"/>
          <w14:textFill>
            <w14:solidFill>
              <w14:schemeClr w14:val="tx1"/>
            </w14:solidFill>
          </w14:textFill>
        </w:rPr>
        <w:t>方</w:t>
      </w:r>
      <w:r>
        <w:rPr>
          <w:rFonts w:ascii="宋体" w:hAnsi="宋体" w:cs="宋体"/>
          <w:color w:val="000000" w:themeColor="text1"/>
          <w14:textFill>
            <w14:solidFill>
              <w14:schemeClr w14:val="tx1"/>
            </w14:solidFill>
          </w14:textFill>
        </w:rPr>
        <w:t>违反本合同</w:t>
      </w:r>
      <w:r>
        <w:rPr>
          <w:rFonts w:hint="eastAsia" w:ascii="宋体" w:hAnsi="宋体" w:cs="宋体"/>
          <w:color w:val="000000" w:themeColor="text1"/>
          <w:lang w:eastAsia="zh-Hans"/>
          <w14:textFill>
            <w14:solidFill>
              <w14:schemeClr w14:val="tx1"/>
            </w14:solidFill>
          </w14:textFill>
        </w:rPr>
        <w:t>约定的</w:t>
      </w:r>
      <w:r>
        <w:rPr>
          <w:rFonts w:ascii="宋体" w:hAnsi="宋体" w:cs="宋体"/>
          <w:color w:val="000000" w:themeColor="text1"/>
          <w14:textFill>
            <w14:solidFill>
              <w14:schemeClr w14:val="tx1"/>
            </w14:solidFill>
          </w14:textFill>
        </w:rPr>
        <w:t>情形，应赔偿</w:t>
      </w:r>
      <w:r>
        <w:rPr>
          <w:rFonts w:hint="eastAsia" w:ascii="宋体" w:hAnsi="宋体" w:cs="宋体"/>
          <w:color w:val="000000" w:themeColor="text1"/>
          <w14:textFill>
            <w14:solidFill>
              <w14:schemeClr w14:val="tx1"/>
            </w14:solidFill>
          </w14:textFill>
        </w:rPr>
        <w:t>另一方</w:t>
      </w:r>
      <w:r>
        <w:rPr>
          <w:rFonts w:ascii="宋体" w:hAnsi="宋体" w:cs="宋体"/>
          <w:color w:val="000000" w:themeColor="text1"/>
          <w14:textFill>
            <w14:solidFill>
              <w14:schemeClr w14:val="tx1"/>
            </w14:solidFill>
          </w14:textFill>
        </w:rPr>
        <w:t>方全部损失，该损失包括但不限于对</w:t>
      </w:r>
      <w:r>
        <w:rPr>
          <w:rFonts w:hint="eastAsia" w:ascii="宋体" w:hAnsi="宋体" w:cs="宋体"/>
          <w:color w:val="000000" w:themeColor="text1"/>
          <w14:textFill>
            <w14:solidFill>
              <w14:schemeClr w14:val="tx1"/>
            </w14:solidFill>
          </w14:textFill>
        </w:rPr>
        <w:t>对</w:t>
      </w:r>
      <w:r>
        <w:rPr>
          <w:rFonts w:hint="eastAsia" w:ascii="宋体" w:hAnsi="宋体" w:cs="宋体"/>
          <w:color w:val="000000" w:themeColor="text1"/>
          <w:lang w:eastAsia="zh-Hans"/>
          <w14:textFill>
            <w14:solidFill>
              <w14:schemeClr w14:val="tx1"/>
            </w14:solidFill>
          </w14:textFill>
        </w:rPr>
        <w:t>方</w:t>
      </w:r>
      <w:r>
        <w:rPr>
          <w:rFonts w:ascii="宋体" w:hAnsi="宋体" w:cs="宋体"/>
          <w:color w:val="000000" w:themeColor="text1"/>
          <w14:textFill>
            <w14:solidFill>
              <w14:schemeClr w14:val="tx1"/>
            </w14:solidFill>
          </w14:textFill>
        </w:rPr>
        <w:t>所造成的直接损失、可得利益损失、</w:t>
      </w:r>
      <w:r>
        <w:rPr>
          <w:rFonts w:hint="eastAsia" w:ascii="宋体" w:hAnsi="宋体" w:cs="宋体"/>
          <w:color w:val="000000" w:themeColor="text1"/>
          <w14:textFill>
            <w14:solidFill>
              <w14:schemeClr w14:val="tx1"/>
            </w14:solidFill>
          </w14:textFill>
        </w:rPr>
        <w:t>受损</w:t>
      </w:r>
      <w:r>
        <w:rPr>
          <w:rFonts w:hint="eastAsia" w:ascii="宋体" w:hAnsi="宋体" w:cs="宋体"/>
          <w:color w:val="000000" w:themeColor="text1"/>
          <w:lang w:eastAsia="zh-Hans"/>
          <w14:textFill>
            <w14:solidFill>
              <w14:schemeClr w14:val="tx1"/>
            </w14:solidFill>
          </w14:textFill>
        </w:rPr>
        <w:t>方</w:t>
      </w:r>
      <w:r>
        <w:rPr>
          <w:rFonts w:ascii="宋体" w:hAnsi="宋体" w:cs="宋体"/>
          <w:color w:val="000000" w:themeColor="text1"/>
          <w14:textFill>
            <w14:solidFill>
              <w14:schemeClr w14:val="tx1"/>
            </w14:solidFill>
          </w14:textFill>
        </w:rPr>
        <w:t>支付给第三方的赔偿费用、诉讼费用、律师费用以及因此而支付的其他合理费用。</w:t>
      </w:r>
    </w:p>
    <w:p w14:paraId="535AF875">
      <w:pPr>
        <w:pStyle w:val="12"/>
        <w:snapToGrid w:val="0"/>
        <w:spacing w:before="0" w:beforeAutospacing="0" w:after="0" w:afterAutospacing="0" w:line="360" w:lineRule="auto"/>
        <w:ind w:firstLine="48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3、乙方提供的服务不符合合同约定的要求，甲方有权要求乙方限期整改；乙方在限期内仍未整改到位的，甲方有权解除合同，并要求乙方支付合同总价20%的违约金。</w:t>
      </w:r>
    </w:p>
    <w:p w14:paraId="58753F02">
      <w:pPr>
        <w:pStyle w:val="12"/>
        <w:snapToGrid w:val="0"/>
        <w:spacing w:before="0" w:beforeAutospacing="0" w:after="0" w:afterAutospacing="0" w:line="360" w:lineRule="auto"/>
        <w:ind w:firstLine="48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乙方擅自向第三人披露在履行本合同期间知悉的或收到的甲方的教学、财务、技术、产品的信息、用户资料或其他标明保密的文件或信息的，甲方有权解除本合同，并要求乙方支付合同总价20%的违约金，乙方还应当承担由此给甲方造成的一切损失。</w:t>
      </w:r>
    </w:p>
    <w:p w14:paraId="749AFBFF">
      <w:pPr>
        <w:snapToGrid w:val="0"/>
        <w:spacing w:line="360" w:lineRule="auto"/>
        <w:ind w:firstLine="480" w:firstLineChars="200"/>
        <w:rPr>
          <w:rFonts w:hint="eastAsia" w:ascii="宋体" w:hAnsi="宋体" w:cs="仿宋"/>
          <w:sz w:val="24"/>
        </w:rPr>
      </w:pPr>
      <w:r>
        <w:rPr>
          <w:rFonts w:hint="eastAsia" w:ascii="宋体" w:hAnsi="宋体" w:cs="仿宋"/>
          <w:sz w:val="24"/>
        </w:rPr>
        <w:t>5、如因不可抗力造成合约无法履行，双方均不承担任何责任。</w:t>
      </w:r>
    </w:p>
    <w:p w14:paraId="2F63733C">
      <w:pPr>
        <w:snapToGrid w:val="0"/>
        <w:spacing w:line="360" w:lineRule="auto"/>
        <w:ind w:firstLine="480" w:firstLineChars="200"/>
        <w:rPr>
          <w:rFonts w:ascii="宋体" w:hAnsi="宋体" w:cs="仿宋"/>
          <w:sz w:val="24"/>
        </w:rPr>
      </w:pPr>
      <w:r>
        <w:rPr>
          <w:rFonts w:hint="eastAsia" w:ascii="宋体" w:hAnsi="宋体" w:cs="仿宋"/>
          <w:sz w:val="24"/>
        </w:rPr>
        <w:t>6、在合同有效期内，双方应按本合同执行，如有争议应友好协商解决，协商不成按照中华人民共和国有关法律提交甲方所在地法院解决。</w:t>
      </w:r>
    </w:p>
    <w:p w14:paraId="4ACC504E">
      <w:pPr>
        <w:spacing w:line="360" w:lineRule="auto"/>
        <w:rPr>
          <w:rFonts w:ascii="宋体" w:hAnsi="宋体" w:cs="仿宋"/>
          <w:b/>
          <w:sz w:val="24"/>
        </w:rPr>
      </w:pPr>
      <w:r>
        <w:rPr>
          <w:rFonts w:hint="eastAsia" w:ascii="宋体" w:hAnsi="宋体" w:cs="仿宋"/>
          <w:b/>
          <w:sz w:val="24"/>
        </w:rPr>
        <w:t>七、其他</w:t>
      </w:r>
    </w:p>
    <w:p w14:paraId="57D9A2B1">
      <w:pPr>
        <w:spacing w:line="360" w:lineRule="auto"/>
        <w:ind w:firstLine="480" w:firstLineChars="200"/>
        <w:rPr>
          <w:rFonts w:ascii="宋体" w:hAnsi="宋体" w:cs="仿宋"/>
          <w:sz w:val="24"/>
        </w:rPr>
      </w:pPr>
      <w:r>
        <w:rPr>
          <w:rFonts w:hint="eastAsia" w:ascii="宋体" w:hAnsi="宋体" w:cs="仿宋"/>
          <w:sz w:val="24"/>
        </w:rPr>
        <w:t>《驻场人员技术服务评价单》为每期服务费用的结算凭证，由甲方管理人员据实填写，详见附件1。</w:t>
      </w:r>
    </w:p>
    <w:p w14:paraId="5A9BA19F">
      <w:pPr>
        <w:spacing w:line="360" w:lineRule="auto"/>
        <w:rPr>
          <w:rFonts w:ascii="宋体" w:hAnsi="宋体" w:cs="仿宋"/>
          <w:b/>
          <w:sz w:val="24"/>
        </w:rPr>
      </w:pPr>
      <w:r>
        <w:rPr>
          <w:rFonts w:hint="eastAsia" w:ascii="宋体" w:hAnsi="宋体" w:cs="仿宋"/>
          <w:b/>
          <w:sz w:val="24"/>
        </w:rPr>
        <w:t>八、保密及承责条款</w:t>
      </w:r>
    </w:p>
    <w:p w14:paraId="66B57CA1">
      <w:pPr>
        <w:spacing w:line="360" w:lineRule="auto"/>
        <w:ind w:firstLine="480" w:firstLineChars="200"/>
        <w:rPr>
          <w:rFonts w:hint="eastAsia" w:ascii="宋体" w:hAnsi="宋体" w:cs="仿宋"/>
          <w:sz w:val="24"/>
        </w:rPr>
      </w:pPr>
      <w:r>
        <w:rPr>
          <w:rFonts w:hint="eastAsia" w:ascii="宋体" w:hAnsi="宋体" w:cs="仿宋"/>
          <w:sz w:val="24"/>
        </w:rPr>
        <w:t>1、甲方应当做好有关信息资料的保密工作，并自行备份相关设备的数据、资料。乙方可以为甲方代做备份，但不对备份甲方资料、数据的完整性承担责任。</w:t>
      </w:r>
    </w:p>
    <w:p w14:paraId="3BF662B2">
      <w:pPr>
        <w:spacing w:line="360" w:lineRule="auto"/>
        <w:ind w:firstLine="480" w:firstLineChars="200"/>
        <w:rPr>
          <w:rFonts w:hint="eastAsia" w:ascii="宋体" w:hAnsi="宋体" w:cs="仿宋"/>
          <w:sz w:val="24"/>
        </w:rPr>
      </w:pPr>
      <w:r>
        <w:rPr>
          <w:rFonts w:hint="eastAsia" w:ascii="宋体" w:hAnsi="宋体" w:cs="仿宋"/>
          <w:sz w:val="24"/>
        </w:rPr>
        <w:t>2、乙方对所做服务承担有限责任，但不承担由服务引起的间接损失。</w:t>
      </w:r>
    </w:p>
    <w:p w14:paraId="4DD57FFD">
      <w:pPr>
        <w:spacing w:line="360" w:lineRule="auto"/>
        <w:ind w:firstLine="480" w:firstLineChars="200"/>
        <w:rPr>
          <w:rFonts w:hint="eastAsia" w:ascii="宋体" w:hAnsi="宋体" w:cs="仿宋"/>
          <w:sz w:val="24"/>
        </w:rPr>
      </w:pPr>
      <w:r>
        <w:rPr>
          <w:rFonts w:hint="eastAsia" w:ascii="宋体" w:hAnsi="宋体" w:cs="仿宋"/>
          <w:sz w:val="24"/>
        </w:rPr>
        <w:t>3、乙方因履行本合同或在本合同期间知悉的或收到的甲方的教学、财务、技术、产品的信息、用户资料或其他标明保密的文件或信息予以保密，未经甲方事先书面同意，不得随意带出及外传、丢失</w:t>
      </w:r>
      <w:r>
        <w:rPr>
          <w:rFonts w:hint="eastAsia" w:ascii="宋体" w:hAnsi="宋体" w:cs="仿宋"/>
          <w:sz w:val="24"/>
          <w:lang w:eastAsia="zh-CN"/>
        </w:rPr>
        <w:t>，</w:t>
      </w:r>
      <w:r>
        <w:rPr>
          <w:rFonts w:hint="eastAsia" w:ascii="宋体" w:hAnsi="宋体" w:cs="仿宋"/>
          <w:sz w:val="24"/>
        </w:rPr>
        <w:t>不得向本合同以外的任何第三方披露。</w:t>
      </w:r>
    </w:p>
    <w:p w14:paraId="30F34A90">
      <w:pPr>
        <w:spacing w:line="360" w:lineRule="auto"/>
        <w:ind w:firstLine="480" w:firstLineChars="200"/>
        <w:rPr>
          <w:rFonts w:hint="eastAsia" w:ascii="宋体" w:hAnsi="宋体" w:cs="仿宋"/>
          <w:sz w:val="24"/>
        </w:rPr>
      </w:pPr>
      <w:r>
        <w:rPr>
          <w:rFonts w:hint="eastAsia" w:ascii="宋体" w:hAnsi="宋体" w:cs="仿宋"/>
          <w:sz w:val="24"/>
        </w:rPr>
        <w:t>4、本合同解除或终止后，乙方仍需遵守本条约定的保密义务。</w:t>
      </w:r>
    </w:p>
    <w:p w14:paraId="197BF0AF">
      <w:pPr>
        <w:spacing w:line="360" w:lineRule="auto"/>
        <w:ind w:firstLine="480" w:firstLineChars="200"/>
      </w:pPr>
      <w:r>
        <w:rPr>
          <w:rFonts w:hint="eastAsia" w:ascii="宋体" w:hAnsi="宋体" w:cs="仿宋"/>
          <w:sz w:val="24"/>
          <w:lang w:val="en-US" w:eastAsia="zh-CN"/>
        </w:rPr>
        <w:t>5</w:t>
      </w:r>
      <w:r>
        <w:rPr>
          <w:rFonts w:hint="eastAsia" w:ascii="宋体" w:hAnsi="宋体" w:cs="仿宋"/>
          <w:sz w:val="24"/>
        </w:rPr>
        <w:t>、</w:t>
      </w:r>
      <w:r>
        <w:rPr>
          <w:rFonts w:hint="eastAsia" w:ascii="宋体" w:hAnsi="宋体" w:cs="仿宋"/>
          <w:sz w:val="24"/>
          <w:lang w:eastAsia="zh-CN"/>
        </w:rPr>
        <w:t>乙方</w:t>
      </w:r>
      <w:r>
        <w:rPr>
          <w:rFonts w:hint="eastAsia" w:ascii="宋体" w:hAnsi="宋体" w:cs="仿宋"/>
          <w:sz w:val="24"/>
        </w:rPr>
        <w:t>如违反上述保密义务，应向</w:t>
      </w:r>
      <w:r>
        <w:rPr>
          <w:rFonts w:hint="eastAsia" w:ascii="宋体" w:hAnsi="宋体" w:cs="仿宋"/>
          <w:sz w:val="24"/>
          <w:lang w:eastAsia="zh-CN"/>
        </w:rPr>
        <w:t>甲</w:t>
      </w:r>
      <w:r>
        <w:rPr>
          <w:rFonts w:hint="eastAsia" w:ascii="宋体" w:hAnsi="宋体" w:cs="仿宋"/>
          <w:sz w:val="24"/>
        </w:rPr>
        <w:t>方支付合同总额20%的违约金，违约金不足以弥补损失的，还要赔偿全部损失。</w:t>
      </w:r>
    </w:p>
    <w:p w14:paraId="085113CB">
      <w:pPr>
        <w:spacing w:line="360" w:lineRule="auto"/>
        <w:rPr>
          <w:rFonts w:ascii="宋体" w:hAnsi="宋体"/>
          <w:sz w:val="24"/>
        </w:rPr>
      </w:pPr>
      <w:r>
        <w:rPr>
          <w:rFonts w:hint="eastAsia" w:ascii="宋体" w:hAnsi="宋体" w:cs="仿宋"/>
          <w:b/>
          <w:sz w:val="24"/>
        </w:rPr>
        <w:t>九、本合同一式</w:t>
      </w:r>
      <w:r>
        <w:rPr>
          <w:rFonts w:hint="eastAsia" w:ascii="宋体" w:hAnsi="宋体" w:cs="仿宋"/>
          <w:b/>
          <w:sz w:val="24"/>
          <w:lang w:eastAsia="zh-CN"/>
        </w:rPr>
        <w:t>陆</w:t>
      </w:r>
      <w:r>
        <w:rPr>
          <w:rFonts w:hint="eastAsia" w:ascii="宋体" w:hAnsi="宋体" w:cs="仿宋"/>
          <w:b/>
          <w:sz w:val="24"/>
        </w:rPr>
        <w:t>份，甲方执</w:t>
      </w:r>
      <w:r>
        <w:rPr>
          <w:rFonts w:hint="eastAsia" w:ascii="宋体" w:hAnsi="宋体" w:cs="仿宋"/>
          <w:b/>
          <w:sz w:val="24"/>
          <w:lang w:eastAsia="zh-CN"/>
        </w:rPr>
        <w:t>肆</w:t>
      </w:r>
      <w:r>
        <w:rPr>
          <w:rFonts w:hint="eastAsia" w:ascii="宋体" w:hAnsi="宋体" w:cs="仿宋"/>
          <w:b/>
          <w:sz w:val="24"/>
        </w:rPr>
        <w:t>份，乙方执壹份，代理机构执壹份，具</w:t>
      </w:r>
      <w:r>
        <w:rPr>
          <w:rFonts w:hint="eastAsia" w:ascii="宋体" w:hAnsi="宋体" w:cs="仿宋"/>
          <w:b/>
          <w:sz w:val="24"/>
          <w:lang w:eastAsia="zh-CN"/>
        </w:rPr>
        <w:t>有</w:t>
      </w:r>
      <w:r>
        <w:rPr>
          <w:rFonts w:hint="eastAsia" w:ascii="宋体" w:hAnsi="宋体" w:cs="仿宋"/>
          <w:b/>
          <w:sz w:val="24"/>
        </w:rPr>
        <w:t>同等法律效力。本合同自双方签字、盖章之日起生效。</w:t>
      </w:r>
    </w:p>
    <w:p w14:paraId="719ADBDA">
      <w:pPr>
        <w:pStyle w:val="6"/>
        <w:tabs>
          <w:tab w:val="left" w:pos="567"/>
        </w:tabs>
      </w:pPr>
    </w:p>
    <w:tbl>
      <w:tblPr>
        <w:tblStyle w:val="15"/>
        <w:tblW w:w="9390" w:type="dxa"/>
        <w:jc w:val="center"/>
        <w:tblLayout w:type="fixed"/>
        <w:tblCellMar>
          <w:top w:w="0" w:type="dxa"/>
          <w:left w:w="108" w:type="dxa"/>
          <w:bottom w:w="0" w:type="dxa"/>
          <w:right w:w="108" w:type="dxa"/>
        </w:tblCellMar>
      </w:tblPr>
      <w:tblGrid>
        <w:gridCol w:w="4395"/>
        <w:gridCol w:w="284"/>
        <w:gridCol w:w="4711"/>
      </w:tblGrid>
      <w:tr w14:paraId="618F219B">
        <w:tblPrEx>
          <w:tblCellMar>
            <w:top w:w="0" w:type="dxa"/>
            <w:left w:w="108" w:type="dxa"/>
            <w:bottom w:w="0" w:type="dxa"/>
            <w:right w:w="108" w:type="dxa"/>
          </w:tblCellMar>
        </w:tblPrEx>
        <w:trPr>
          <w:jc w:val="center"/>
        </w:trPr>
        <w:tc>
          <w:tcPr>
            <w:tcW w:w="4395" w:type="dxa"/>
          </w:tcPr>
          <w:p w14:paraId="49C37B37">
            <w:pPr>
              <w:widowControl/>
              <w:shd w:val="clear" w:color="auto" w:fill="FFFFFF"/>
              <w:spacing w:line="360" w:lineRule="auto"/>
              <w:jc w:val="left"/>
              <w:rPr>
                <w:rFonts w:ascii="宋体" w:hAnsi="宋体" w:cs="仿宋"/>
                <w:kern w:val="0"/>
                <w:sz w:val="24"/>
              </w:rPr>
            </w:pPr>
            <w:r>
              <w:rPr>
                <w:rFonts w:hint="eastAsia" w:ascii="宋体" w:hAnsi="宋体" w:cs="仿宋"/>
                <w:bCs/>
                <w:kern w:val="0"/>
                <w:sz w:val="24"/>
              </w:rPr>
              <w:t>甲  方：</w:t>
            </w:r>
            <w:r>
              <w:rPr>
                <w:rFonts w:hint="eastAsia" w:ascii="宋体" w:hAnsi="宋体" w:cs="仿宋"/>
                <w:kern w:val="0"/>
                <w:sz w:val="24"/>
              </w:rPr>
              <w:t>中共陕西省委党校</w:t>
            </w:r>
          </w:p>
          <w:p w14:paraId="7F0AA9E5">
            <w:pPr>
              <w:widowControl/>
              <w:shd w:val="clear" w:color="auto" w:fill="FFFFFF"/>
              <w:spacing w:line="360" w:lineRule="auto"/>
              <w:ind w:firstLine="960" w:firstLineChars="400"/>
              <w:jc w:val="left"/>
              <w:rPr>
                <w:rFonts w:ascii="宋体" w:hAnsi="宋体" w:cs="仿宋"/>
                <w:bCs/>
                <w:kern w:val="0"/>
                <w:sz w:val="24"/>
              </w:rPr>
            </w:pPr>
            <w:r>
              <w:rPr>
                <w:rFonts w:hint="eastAsia" w:ascii="宋体" w:hAnsi="宋体" w:cs="仿宋"/>
                <w:kern w:val="0"/>
                <w:sz w:val="24"/>
              </w:rPr>
              <w:t>（陕西行政学院）</w:t>
            </w:r>
          </w:p>
          <w:p w14:paraId="6DA8136E">
            <w:pPr>
              <w:widowControl/>
              <w:shd w:val="clear" w:color="auto" w:fill="FFFFFF"/>
              <w:spacing w:line="360" w:lineRule="auto"/>
              <w:jc w:val="left"/>
              <w:rPr>
                <w:rFonts w:ascii="宋体" w:hAnsi="宋体" w:cs="仿宋"/>
                <w:bCs/>
                <w:kern w:val="0"/>
                <w:sz w:val="24"/>
              </w:rPr>
            </w:pPr>
            <w:r>
              <w:rPr>
                <w:rFonts w:hint="eastAsia" w:ascii="宋体" w:hAnsi="宋体" w:cs="仿宋"/>
                <w:bCs/>
                <w:kern w:val="0"/>
                <w:sz w:val="24"/>
              </w:rPr>
              <w:t>地  址：西安市小寨西路1</w:t>
            </w:r>
            <w:r>
              <w:rPr>
                <w:rFonts w:ascii="宋体" w:hAnsi="宋体" w:cs="仿宋"/>
                <w:bCs/>
                <w:kern w:val="0"/>
                <w:sz w:val="24"/>
              </w:rPr>
              <w:t>19</w:t>
            </w:r>
            <w:r>
              <w:rPr>
                <w:rFonts w:hint="eastAsia" w:ascii="宋体" w:hAnsi="宋体" w:cs="仿宋"/>
                <w:bCs/>
                <w:kern w:val="0"/>
                <w:sz w:val="24"/>
              </w:rPr>
              <w:t>号</w:t>
            </w:r>
          </w:p>
          <w:p w14:paraId="1B251F8F">
            <w:pPr>
              <w:widowControl/>
              <w:shd w:val="clear" w:color="auto" w:fill="FFFFFF"/>
              <w:spacing w:line="360" w:lineRule="auto"/>
              <w:jc w:val="left"/>
              <w:rPr>
                <w:rFonts w:ascii="宋体" w:hAnsi="宋体" w:cs="仿宋"/>
                <w:bCs/>
                <w:kern w:val="0"/>
                <w:sz w:val="24"/>
              </w:rPr>
            </w:pPr>
          </w:p>
          <w:p w14:paraId="4EB6AF28">
            <w:pPr>
              <w:widowControl/>
              <w:shd w:val="clear" w:color="auto" w:fill="FFFFFF"/>
              <w:spacing w:line="360" w:lineRule="auto"/>
              <w:jc w:val="left"/>
              <w:rPr>
                <w:rFonts w:ascii="宋体" w:hAnsi="宋体" w:cs="仿宋"/>
                <w:bCs/>
                <w:kern w:val="0"/>
                <w:sz w:val="24"/>
              </w:rPr>
            </w:pPr>
            <w:r>
              <w:rPr>
                <w:rFonts w:hint="eastAsia" w:ascii="宋体" w:hAnsi="宋体" w:cs="仿宋"/>
                <w:bCs/>
                <w:kern w:val="0"/>
                <w:sz w:val="24"/>
              </w:rPr>
              <w:t>电  话：0</w:t>
            </w:r>
            <w:r>
              <w:rPr>
                <w:rFonts w:ascii="宋体" w:hAnsi="宋体" w:cs="仿宋"/>
                <w:bCs/>
                <w:kern w:val="0"/>
                <w:sz w:val="24"/>
              </w:rPr>
              <w:t>29-</w:t>
            </w:r>
            <w:r>
              <w:rPr>
                <w:rFonts w:hint="eastAsia" w:ascii="宋体" w:hAnsi="宋体" w:cs="仿宋"/>
                <w:bCs/>
                <w:kern w:val="0"/>
                <w:sz w:val="24"/>
              </w:rPr>
              <w:t>8</w:t>
            </w:r>
            <w:r>
              <w:rPr>
                <w:rFonts w:ascii="宋体" w:hAnsi="宋体" w:cs="仿宋"/>
                <w:bCs/>
                <w:kern w:val="0"/>
                <w:sz w:val="24"/>
              </w:rPr>
              <w:t>5378195</w:t>
            </w:r>
          </w:p>
          <w:p w14:paraId="1C3B90EA">
            <w:pPr>
              <w:widowControl/>
              <w:shd w:val="clear" w:color="auto" w:fill="FFFFFF"/>
              <w:spacing w:line="360" w:lineRule="auto"/>
              <w:jc w:val="left"/>
              <w:rPr>
                <w:rFonts w:ascii="宋体" w:hAnsi="宋体" w:cs="仿宋"/>
                <w:bCs/>
                <w:kern w:val="0"/>
                <w:sz w:val="24"/>
              </w:rPr>
            </w:pPr>
            <w:r>
              <w:rPr>
                <w:rFonts w:hint="eastAsia" w:ascii="宋体" w:hAnsi="宋体" w:cs="仿宋"/>
                <w:bCs/>
                <w:kern w:val="0"/>
                <w:sz w:val="24"/>
              </w:rPr>
              <w:t>授权代表（签字）：</w:t>
            </w:r>
          </w:p>
          <w:p w14:paraId="6490E39F">
            <w:pPr>
              <w:widowControl/>
              <w:spacing w:line="360" w:lineRule="auto"/>
              <w:jc w:val="left"/>
              <w:rPr>
                <w:rFonts w:ascii="宋体" w:hAnsi="宋体" w:cs="仿宋"/>
                <w:kern w:val="0"/>
                <w:sz w:val="24"/>
              </w:rPr>
            </w:pPr>
            <w:r>
              <w:rPr>
                <w:rFonts w:hint="eastAsia" w:ascii="宋体" w:hAnsi="宋体" w:cs="仿宋"/>
                <w:bCs/>
                <w:kern w:val="0"/>
                <w:sz w:val="24"/>
              </w:rPr>
              <w:t>时  间：</w:t>
            </w:r>
            <w:r>
              <w:rPr>
                <w:rFonts w:hint="eastAsia" w:ascii="宋体" w:hAnsi="宋体" w:cs="仿宋"/>
                <w:bCs/>
                <w:kern w:val="0"/>
                <w:sz w:val="24"/>
                <w:u w:val="single"/>
              </w:rPr>
              <w:t xml:space="preserve"> </w:t>
            </w:r>
            <w:r>
              <w:rPr>
                <w:rFonts w:ascii="宋体" w:hAnsi="宋体" w:cs="仿宋"/>
                <w:bCs/>
                <w:kern w:val="0"/>
                <w:sz w:val="24"/>
                <w:u w:val="single"/>
              </w:rPr>
              <w:t>202</w:t>
            </w:r>
            <w:r>
              <w:rPr>
                <w:rFonts w:hint="eastAsia" w:ascii="宋体" w:hAnsi="宋体" w:cs="仿宋"/>
                <w:bCs/>
                <w:kern w:val="0"/>
                <w:sz w:val="24"/>
                <w:u w:val="single"/>
                <w:lang w:val="en-US" w:eastAsia="zh-CN"/>
              </w:rPr>
              <w:t>6</w:t>
            </w:r>
            <w:r>
              <w:rPr>
                <w:rFonts w:hint="eastAsia" w:ascii="宋体" w:hAnsi="宋体" w:cs="仿宋"/>
                <w:bCs/>
                <w:kern w:val="0"/>
                <w:sz w:val="24"/>
                <w:u w:val="single"/>
              </w:rPr>
              <w:t xml:space="preserve"> </w:t>
            </w:r>
            <w:r>
              <w:rPr>
                <w:rFonts w:hint="eastAsia" w:ascii="宋体" w:hAnsi="宋体" w:cs="仿宋"/>
                <w:bCs/>
                <w:kern w:val="0"/>
                <w:sz w:val="24"/>
              </w:rPr>
              <w:t>年</w:t>
            </w:r>
            <w:r>
              <w:rPr>
                <w:rFonts w:hint="eastAsia" w:ascii="宋体" w:hAnsi="宋体" w:cs="仿宋"/>
                <w:bCs/>
                <w:kern w:val="0"/>
                <w:sz w:val="24"/>
                <w:u w:val="single"/>
              </w:rPr>
              <w:t xml:space="preserve"> </w:t>
            </w:r>
            <w:r>
              <w:rPr>
                <w:rFonts w:hint="eastAsia" w:ascii="宋体" w:hAnsi="宋体" w:cs="仿宋"/>
                <w:bCs/>
                <w:kern w:val="0"/>
                <w:sz w:val="24"/>
                <w:u w:val="single"/>
                <w:lang w:val="en-US" w:eastAsia="zh-CN"/>
              </w:rPr>
              <w:t xml:space="preserve"> </w:t>
            </w:r>
            <w:r>
              <w:rPr>
                <w:rFonts w:hint="eastAsia" w:ascii="宋体" w:hAnsi="宋体" w:cs="仿宋"/>
                <w:bCs/>
                <w:kern w:val="0"/>
                <w:sz w:val="24"/>
                <w:u w:val="single"/>
              </w:rPr>
              <w:t xml:space="preserve"> </w:t>
            </w:r>
            <w:r>
              <w:rPr>
                <w:rFonts w:hint="eastAsia" w:ascii="宋体" w:hAnsi="宋体" w:cs="仿宋"/>
                <w:bCs/>
                <w:kern w:val="0"/>
                <w:sz w:val="24"/>
              </w:rPr>
              <w:t>月</w:t>
            </w:r>
            <w:r>
              <w:rPr>
                <w:rFonts w:hint="eastAsia" w:ascii="宋体" w:hAnsi="宋体" w:cs="仿宋"/>
                <w:bCs/>
                <w:kern w:val="0"/>
                <w:sz w:val="24"/>
                <w:u w:val="single"/>
              </w:rPr>
              <w:t xml:space="preserve"> </w:t>
            </w:r>
            <w:r>
              <w:rPr>
                <w:rFonts w:hint="eastAsia" w:ascii="宋体" w:hAnsi="宋体" w:cs="仿宋"/>
                <w:bCs/>
                <w:kern w:val="0"/>
                <w:sz w:val="24"/>
                <w:u w:val="single"/>
                <w:lang w:val="en-US" w:eastAsia="zh-CN"/>
              </w:rPr>
              <w:t xml:space="preserve"> </w:t>
            </w:r>
            <w:r>
              <w:rPr>
                <w:rFonts w:hint="eastAsia" w:ascii="宋体" w:hAnsi="宋体" w:cs="仿宋"/>
                <w:bCs/>
                <w:kern w:val="0"/>
                <w:sz w:val="24"/>
                <w:u w:val="single"/>
              </w:rPr>
              <w:t xml:space="preserve"> </w:t>
            </w:r>
            <w:r>
              <w:rPr>
                <w:rFonts w:hint="eastAsia" w:ascii="宋体" w:hAnsi="宋体" w:cs="仿宋"/>
                <w:bCs/>
                <w:kern w:val="0"/>
                <w:sz w:val="24"/>
              </w:rPr>
              <w:t>日</w:t>
            </w:r>
          </w:p>
        </w:tc>
        <w:tc>
          <w:tcPr>
            <w:tcW w:w="284" w:type="dxa"/>
          </w:tcPr>
          <w:p w14:paraId="567972AE">
            <w:pPr>
              <w:widowControl/>
              <w:spacing w:line="360" w:lineRule="auto"/>
              <w:jc w:val="left"/>
              <w:rPr>
                <w:rFonts w:ascii="宋体" w:hAnsi="宋体" w:cs="仿宋"/>
                <w:kern w:val="0"/>
                <w:sz w:val="24"/>
              </w:rPr>
            </w:pPr>
          </w:p>
        </w:tc>
        <w:tc>
          <w:tcPr>
            <w:tcW w:w="4711" w:type="dxa"/>
          </w:tcPr>
          <w:p w14:paraId="54D49AFE">
            <w:pPr>
              <w:widowControl/>
              <w:shd w:val="clear" w:color="auto" w:fill="FFFFFF"/>
              <w:spacing w:line="360" w:lineRule="auto"/>
              <w:ind w:left="840" w:hanging="840" w:hangingChars="350"/>
              <w:jc w:val="left"/>
              <w:rPr>
                <w:rFonts w:ascii="宋体" w:hAnsi="宋体" w:cs="仿宋"/>
                <w:bCs/>
                <w:kern w:val="0"/>
                <w:sz w:val="24"/>
              </w:rPr>
            </w:pPr>
            <w:r>
              <w:rPr>
                <w:rFonts w:hint="eastAsia" w:ascii="宋体" w:hAnsi="宋体" w:cs="仿宋"/>
                <w:bCs/>
                <w:kern w:val="0"/>
                <w:sz w:val="24"/>
              </w:rPr>
              <w:t>乙  方：</w:t>
            </w:r>
          </w:p>
          <w:p w14:paraId="28A11C99">
            <w:pPr>
              <w:widowControl/>
              <w:shd w:val="clear" w:color="auto" w:fill="FFFFFF"/>
              <w:spacing w:line="360" w:lineRule="auto"/>
              <w:ind w:left="960" w:hanging="960" w:hangingChars="400"/>
              <w:jc w:val="left"/>
              <w:rPr>
                <w:rFonts w:ascii="宋体" w:hAnsi="宋体" w:cs="仿宋"/>
                <w:bCs/>
                <w:kern w:val="0"/>
                <w:sz w:val="24"/>
              </w:rPr>
            </w:pPr>
          </w:p>
          <w:p w14:paraId="56AAFBD5">
            <w:pPr>
              <w:widowControl/>
              <w:shd w:val="clear" w:color="auto" w:fill="FFFFFF"/>
              <w:spacing w:line="360" w:lineRule="auto"/>
              <w:ind w:left="960" w:hanging="960" w:hangingChars="400"/>
              <w:jc w:val="left"/>
              <w:rPr>
                <w:rFonts w:ascii="宋体" w:hAnsi="宋体" w:cs="仿宋"/>
                <w:bCs/>
                <w:kern w:val="0"/>
                <w:sz w:val="24"/>
              </w:rPr>
            </w:pPr>
            <w:r>
              <w:rPr>
                <w:rFonts w:hint="eastAsia" w:ascii="宋体" w:hAnsi="宋体" w:cs="仿宋"/>
                <w:bCs/>
                <w:kern w:val="0"/>
                <w:sz w:val="24"/>
              </w:rPr>
              <w:t>地  址：</w:t>
            </w:r>
          </w:p>
          <w:p w14:paraId="71817A8E">
            <w:pPr>
              <w:widowControl/>
              <w:shd w:val="clear" w:color="auto" w:fill="FFFFFF"/>
              <w:spacing w:line="360" w:lineRule="auto"/>
              <w:jc w:val="left"/>
              <w:rPr>
                <w:rFonts w:ascii="宋体" w:hAnsi="宋体" w:cs="仿宋"/>
                <w:bCs/>
                <w:kern w:val="0"/>
                <w:sz w:val="24"/>
              </w:rPr>
            </w:pPr>
            <w:r>
              <w:rPr>
                <w:rFonts w:hint="eastAsia" w:ascii="宋体" w:hAnsi="宋体" w:cs="仿宋"/>
                <w:bCs/>
                <w:kern w:val="0"/>
                <w:sz w:val="24"/>
              </w:rPr>
              <w:t>电  话：029-</w:t>
            </w:r>
          </w:p>
          <w:p w14:paraId="78DED6EA">
            <w:pPr>
              <w:spacing w:line="360" w:lineRule="auto"/>
              <w:rPr>
                <w:rFonts w:ascii="宋体" w:hAnsi="宋体" w:cs="仿宋"/>
                <w:bCs/>
                <w:kern w:val="0"/>
                <w:sz w:val="24"/>
              </w:rPr>
            </w:pPr>
            <w:r>
              <w:rPr>
                <w:rFonts w:hint="eastAsia" w:ascii="宋体" w:hAnsi="宋体" w:cs="仿宋"/>
                <w:bCs/>
                <w:kern w:val="0"/>
                <w:sz w:val="24"/>
              </w:rPr>
              <w:t>授权代表（签字）：</w:t>
            </w:r>
          </w:p>
          <w:p w14:paraId="778A774C">
            <w:pPr>
              <w:widowControl/>
              <w:spacing w:line="360" w:lineRule="auto"/>
              <w:jc w:val="left"/>
              <w:rPr>
                <w:rFonts w:ascii="宋体" w:hAnsi="宋体" w:cs="仿宋"/>
                <w:kern w:val="0"/>
                <w:sz w:val="24"/>
              </w:rPr>
            </w:pPr>
            <w:r>
              <w:rPr>
                <w:rFonts w:hint="eastAsia" w:ascii="宋体" w:hAnsi="宋体" w:cs="仿宋"/>
                <w:bCs/>
                <w:kern w:val="0"/>
                <w:sz w:val="24"/>
              </w:rPr>
              <w:t>时  间：</w:t>
            </w:r>
            <w:r>
              <w:rPr>
                <w:rFonts w:hint="eastAsia" w:ascii="宋体" w:hAnsi="宋体" w:cs="仿宋"/>
                <w:bCs/>
                <w:kern w:val="0"/>
                <w:sz w:val="24"/>
                <w:u w:val="single"/>
              </w:rPr>
              <w:t xml:space="preserve"> </w:t>
            </w:r>
            <w:r>
              <w:rPr>
                <w:rFonts w:ascii="宋体" w:hAnsi="宋体" w:cs="仿宋"/>
                <w:bCs/>
                <w:kern w:val="0"/>
                <w:sz w:val="24"/>
                <w:u w:val="single"/>
              </w:rPr>
              <w:t>202</w:t>
            </w:r>
            <w:r>
              <w:rPr>
                <w:rFonts w:hint="eastAsia" w:ascii="宋体" w:hAnsi="宋体" w:cs="仿宋"/>
                <w:bCs/>
                <w:kern w:val="0"/>
                <w:sz w:val="24"/>
                <w:u w:val="single"/>
                <w:lang w:val="en-US" w:eastAsia="zh-CN"/>
              </w:rPr>
              <w:t>6</w:t>
            </w:r>
            <w:r>
              <w:rPr>
                <w:rFonts w:hint="eastAsia" w:ascii="宋体" w:hAnsi="宋体" w:cs="仿宋"/>
                <w:bCs/>
                <w:kern w:val="0"/>
                <w:sz w:val="24"/>
                <w:u w:val="single"/>
              </w:rPr>
              <w:t xml:space="preserve"> </w:t>
            </w:r>
            <w:r>
              <w:rPr>
                <w:rFonts w:hint="eastAsia" w:ascii="宋体" w:hAnsi="宋体" w:cs="仿宋"/>
                <w:bCs/>
                <w:kern w:val="0"/>
                <w:sz w:val="24"/>
              </w:rPr>
              <w:t>年</w:t>
            </w:r>
            <w:r>
              <w:rPr>
                <w:rFonts w:hint="eastAsia" w:ascii="宋体" w:hAnsi="宋体" w:cs="仿宋"/>
                <w:bCs/>
                <w:kern w:val="0"/>
                <w:sz w:val="24"/>
                <w:u w:val="single"/>
              </w:rPr>
              <w:t xml:space="preserve"> </w:t>
            </w:r>
            <w:r>
              <w:rPr>
                <w:rFonts w:hint="eastAsia" w:ascii="宋体" w:hAnsi="宋体" w:cs="仿宋"/>
                <w:bCs/>
                <w:kern w:val="0"/>
                <w:sz w:val="24"/>
                <w:u w:val="single"/>
                <w:lang w:val="en-US" w:eastAsia="zh-CN"/>
              </w:rPr>
              <w:t xml:space="preserve"> </w:t>
            </w:r>
            <w:r>
              <w:rPr>
                <w:rFonts w:hint="eastAsia" w:ascii="宋体" w:hAnsi="宋体" w:cs="仿宋"/>
                <w:bCs/>
                <w:kern w:val="0"/>
                <w:sz w:val="24"/>
                <w:u w:val="single"/>
              </w:rPr>
              <w:t xml:space="preserve"> </w:t>
            </w:r>
            <w:r>
              <w:rPr>
                <w:rFonts w:hint="eastAsia" w:ascii="宋体" w:hAnsi="宋体" w:cs="仿宋"/>
                <w:bCs/>
                <w:kern w:val="0"/>
                <w:sz w:val="24"/>
              </w:rPr>
              <w:t>月</w:t>
            </w:r>
            <w:r>
              <w:rPr>
                <w:rFonts w:hint="eastAsia" w:ascii="宋体" w:hAnsi="宋体" w:cs="仿宋"/>
                <w:bCs/>
                <w:kern w:val="0"/>
                <w:sz w:val="24"/>
                <w:u w:val="single"/>
              </w:rPr>
              <w:t xml:space="preserve"> </w:t>
            </w:r>
            <w:r>
              <w:rPr>
                <w:rFonts w:hint="eastAsia" w:ascii="宋体" w:hAnsi="宋体" w:cs="仿宋"/>
                <w:bCs/>
                <w:kern w:val="0"/>
                <w:sz w:val="24"/>
                <w:u w:val="single"/>
                <w:lang w:val="en-US" w:eastAsia="zh-CN"/>
              </w:rPr>
              <w:t xml:space="preserve"> </w:t>
            </w:r>
            <w:r>
              <w:rPr>
                <w:rFonts w:ascii="宋体" w:hAnsi="宋体" w:cs="仿宋"/>
                <w:bCs/>
                <w:kern w:val="0"/>
                <w:sz w:val="24"/>
                <w:u w:val="single"/>
              </w:rPr>
              <w:t xml:space="preserve"> </w:t>
            </w:r>
            <w:r>
              <w:rPr>
                <w:rFonts w:hint="eastAsia" w:ascii="宋体" w:hAnsi="宋体" w:cs="仿宋"/>
                <w:bCs/>
                <w:kern w:val="0"/>
                <w:sz w:val="24"/>
              </w:rPr>
              <w:t>日</w:t>
            </w:r>
          </w:p>
        </w:tc>
      </w:tr>
    </w:tbl>
    <w:p w14:paraId="2CE876D7">
      <w:pPr>
        <w:spacing w:line="440" w:lineRule="exact"/>
        <w:rPr>
          <w:rFonts w:ascii="宋体" w:hAnsi="宋体" w:cs="仿宋"/>
          <w:b/>
          <w:sz w:val="24"/>
        </w:rPr>
      </w:pPr>
      <w:r>
        <w:rPr>
          <w:rFonts w:ascii="宋体" w:hAnsi="宋体" w:cs="仿宋"/>
          <w:bCs/>
          <w:kern w:val="0"/>
          <w:sz w:val="24"/>
        </w:rPr>
        <w:br w:type="page"/>
      </w:r>
      <w:r>
        <w:rPr>
          <w:rFonts w:hint="eastAsia" w:ascii="宋体" w:hAnsi="宋体" w:cs="仿宋"/>
          <w:b/>
          <w:sz w:val="24"/>
        </w:rPr>
        <w:t>附件1</w:t>
      </w:r>
    </w:p>
    <w:p w14:paraId="57A665FA">
      <w:pPr>
        <w:spacing w:line="360" w:lineRule="auto"/>
        <w:jc w:val="center"/>
        <w:rPr>
          <w:rFonts w:ascii="宋体" w:hAnsi="宋体" w:cs="仿宋"/>
          <w:b/>
          <w:sz w:val="30"/>
          <w:szCs w:val="30"/>
        </w:rPr>
      </w:pPr>
      <w:r>
        <w:rPr>
          <w:rFonts w:hint="eastAsia" w:ascii="宋体" w:hAnsi="宋体" w:cs="仿宋"/>
          <w:b/>
          <w:sz w:val="30"/>
          <w:szCs w:val="30"/>
        </w:rPr>
        <w:t>驻场人员</w:t>
      </w:r>
      <w:r>
        <w:rPr>
          <w:rFonts w:ascii="宋体" w:hAnsi="宋体" w:cs="仿宋"/>
          <w:b/>
          <w:sz w:val="30"/>
          <w:szCs w:val="30"/>
        </w:rPr>
        <w:t>技术服务</w:t>
      </w:r>
      <w:r>
        <w:rPr>
          <w:rFonts w:hint="eastAsia" w:ascii="宋体" w:hAnsi="宋体" w:cs="仿宋"/>
          <w:b/>
          <w:sz w:val="30"/>
          <w:szCs w:val="30"/>
        </w:rPr>
        <w:t>评价单</w:t>
      </w:r>
    </w:p>
    <w:p w14:paraId="3BD6BA7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right" w:pos="9070"/>
        </w:tabs>
        <w:spacing w:line="360" w:lineRule="auto"/>
        <w:rPr>
          <w:rFonts w:ascii="宋体" w:hAnsi="宋体"/>
          <w:sz w:val="24"/>
        </w:rPr>
      </w:pPr>
      <w:r>
        <w:rPr>
          <w:rFonts w:hint="eastAsia" w:ascii="宋体" w:hAnsi="宋体"/>
          <w:sz w:val="24"/>
        </w:rPr>
        <w:t>类目：</w:t>
      </w:r>
      <w:r>
        <w:rPr>
          <w:rFonts w:hint="eastAsia" w:ascii="宋体" w:hAnsi="宋体"/>
          <w:sz w:val="24"/>
          <w:u w:val="single"/>
        </w:rPr>
        <w:t>网络维修服务</w:t>
      </w:r>
      <w:r>
        <w:rPr>
          <w:rFonts w:hint="eastAsia" w:ascii="宋体" w:hAnsi="宋体"/>
          <w:sz w:val="24"/>
        </w:rPr>
        <w:tab/>
      </w:r>
      <w:r>
        <w:rPr>
          <w:rFonts w:ascii="宋体" w:hAnsi="宋体"/>
          <w:sz w:val="24"/>
        </w:rPr>
        <w:tab/>
      </w:r>
      <w:r>
        <w:rPr>
          <w:rFonts w:ascii="宋体" w:hAnsi="宋体"/>
          <w:sz w:val="24"/>
        </w:rPr>
        <w:tab/>
      </w:r>
      <w:r>
        <w:rPr>
          <w:rFonts w:ascii="宋体" w:hAnsi="宋体"/>
          <w:sz w:val="24"/>
        </w:rPr>
        <w:tab/>
      </w:r>
      <w:r>
        <w:rPr>
          <w:rFonts w:ascii="宋体" w:hAnsi="宋体"/>
          <w:sz w:val="24"/>
        </w:rPr>
        <w:tab/>
      </w:r>
      <w:r>
        <w:rPr>
          <w:rFonts w:ascii="宋体" w:hAnsi="宋体"/>
          <w:sz w:val="24"/>
        </w:rPr>
        <w:tab/>
      </w:r>
      <w:r>
        <w:rPr>
          <w:rFonts w:ascii="宋体" w:hAnsi="宋体"/>
          <w:sz w:val="24"/>
        </w:rPr>
        <w:tab/>
      </w:r>
      <w:r>
        <w:rPr>
          <w:rFonts w:hint="eastAsia" w:ascii="宋体" w:hAnsi="宋体"/>
          <w:sz w:val="24"/>
        </w:rPr>
        <w:t>服务期：</w:t>
      </w:r>
      <w:r>
        <w:rPr>
          <w:rFonts w:ascii="宋体" w:hAnsi="宋体"/>
          <w:sz w:val="24"/>
          <w:u w:val="single"/>
        </w:rPr>
        <w:tab/>
      </w:r>
      <w:r>
        <w:rPr>
          <w:rFonts w:hint="eastAsia" w:ascii="宋体" w:hAnsi="宋体"/>
          <w:sz w:val="24"/>
          <w:u w:val="single"/>
        </w:rPr>
        <w:t xml:space="preserve">           </w:t>
      </w:r>
      <w:r>
        <w:rPr>
          <w:rFonts w:ascii="宋体" w:hAnsi="宋体"/>
          <w:sz w:val="24"/>
          <w:u w:val="single"/>
        </w:rPr>
        <w:tab/>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920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9E32744">
            <w:pPr>
              <w:spacing w:line="360" w:lineRule="auto"/>
              <w:rPr>
                <w:rFonts w:ascii="宋体" w:hAnsi="宋体"/>
                <w:sz w:val="24"/>
              </w:rPr>
            </w:pPr>
            <w:r>
              <w:rPr>
                <w:rFonts w:hint="eastAsia" w:ascii="宋体" w:hAnsi="宋体"/>
                <w:sz w:val="24"/>
              </w:rPr>
              <w:t>一、服务内容评价</w:t>
            </w:r>
          </w:p>
        </w:tc>
      </w:tr>
      <w:tr w14:paraId="212B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E583984">
            <w:pPr>
              <w:spacing w:line="360" w:lineRule="auto"/>
              <w:rPr>
                <w:rFonts w:ascii="宋体" w:hAnsi="宋体"/>
                <w:sz w:val="24"/>
              </w:rPr>
            </w:pPr>
            <w:r>
              <w:rPr>
                <w:rFonts w:hint="eastAsia" w:ascii="宋体" w:hAnsi="宋体"/>
                <w:sz w:val="24"/>
              </w:rPr>
              <w:t>1.按合同要求的维修服务范围</w:t>
            </w:r>
            <w:r>
              <w:rPr>
                <w:rFonts w:hint="eastAsia" w:ascii="宋体" w:hAnsi="宋体"/>
                <w:sz w:val="24"/>
              </w:rPr>
              <w:tab/>
            </w:r>
            <w:r>
              <w:rPr>
                <w:rFonts w:hint="eastAsia" w:ascii="宋体" w:hAnsi="宋体"/>
                <w:sz w:val="24"/>
              </w:rPr>
              <w:tab/>
            </w:r>
            <w:r>
              <w:rPr>
                <w:rFonts w:hint="eastAsia" w:ascii="宋体" w:hAnsi="宋体"/>
                <w:sz w:val="24"/>
              </w:rPr>
              <w:t>□全覆盖</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□基本覆盖</w:t>
            </w:r>
          </w:p>
          <w:p w14:paraId="24B61082">
            <w:pPr>
              <w:spacing w:line="360" w:lineRule="auto"/>
              <w:rPr>
                <w:rFonts w:ascii="宋体" w:hAnsi="宋体"/>
                <w:sz w:val="24"/>
              </w:rPr>
            </w:pPr>
            <w:r>
              <w:rPr>
                <w:rFonts w:hint="eastAsia" w:ascii="宋体" w:hAnsi="宋体"/>
                <w:sz w:val="24"/>
              </w:rPr>
              <w:t>2.驻场服务人员数量</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□满足要求</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 xml:space="preserve"> □不满足</w:t>
            </w:r>
          </w:p>
          <w:p w14:paraId="515573CB">
            <w:pPr>
              <w:spacing w:line="360" w:lineRule="auto"/>
              <w:rPr>
                <w:rFonts w:ascii="宋体" w:hAnsi="宋体"/>
                <w:sz w:val="24"/>
              </w:rPr>
            </w:pPr>
            <w:r>
              <w:rPr>
                <w:rFonts w:hint="eastAsia" w:ascii="宋体" w:hAnsi="宋体"/>
                <w:sz w:val="24"/>
              </w:rPr>
              <w:t>3.驻场人员作息时间</w:t>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□与学校同步</w:t>
            </w:r>
            <w:r>
              <w:rPr>
                <w:rFonts w:hint="eastAsia" w:ascii="宋体" w:hAnsi="宋体"/>
                <w:sz w:val="24"/>
              </w:rPr>
              <w:tab/>
            </w:r>
            <w:r>
              <w:rPr>
                <w:rFonts w:hint="eastAsia" w:ascii="宋体" w:hAnsi="宋体"/>
                <w:sz w:val="24"/>
              </w:rPr>
              <w:t xml:space="preserve">     □一般  </w:t>
            </w:r>
            <w:r>
              <w:rPr>
                <w:rFonts w:hint="eastAsia" w:ascii="宋体" w:hAnsi="宋体"/>
                <w:sz w:val="24"/>
              </w:rPr>
              <w:tab/>
            </w:r>
            <w:r>
              <w:rPr>
                <w:rFonts w:hint="eastAsia" w:ascii="宋体" w:hAnsi="宋体"/>
                <w:sz w:val="24"/>
              </w:rPr>
              <w:t>□较差</w:t>
            </w:r>
          </w:p>
        </w:tc>
      </w:tr>
      <w:tr w14:paraId="34F7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F1E74C3">
            <w:pPr>
              <w:spacing w:line="360" w:lineRule="auto"/>
              <w:rPr>
                <w:rFonts w:ascii="宋体" w:hAnsi="宋体"/>
                <w:sz w:val="24"/>
              </w:rPr>
            </w:pPr>
            <w:r>
              <w:rPr>
                <w:rFonts w:hint="eastAsia" w:ascii="宋体" w:hAnsi="宋体"/>
                <w:sz w:val="24"/>
              </w:rPr>
              <w:t>二、驻场技术人员服务标准评价</w:t>
            </w:r>
          </w:p>
        </w:tc>
      </w:tr>
      <w:tr w14:paraId="70083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A04EC6C">
            <w:pPr>
              <w:spacing w:line="360" w:lineRule="auto"/>
              <w:rPr>
                <w:rFonts w:hint="eastAsia" w:ascii="宋体" w:hAnsi="宋体"/>
                <w:sz w:val="24"/>
                <w:lang w:eastAsia="zh-CN"/>
              </w:rPr>
            </w:pPr>
            <w:r>
              <w:rPr>
                <w:rFonts w:hint="eastAsia" w:ascii="宋体" w:hAnsi="宋体"/>
                <w:sz w:val="24"/>
              </w:rPr>
              <w:t>1.工作纪律、</w:t>
            </w:r>
            <w:r>
              <w:rPr>
                <w:rFonts w:ascii="宋体" w:hAnsi="宋体"/>
                <w:sz w:val="24"/>
              </w:rPr>
              <w:t>服从管理</w:t>
            </w:r>
            <w:r>
              <w:rPr>
                <w:rFonts w:hint="eastAsia" w:ascii="宋体" w:hAnsi="宋体"/>
                <w:sz w:val="24"/>
              </w:rPr>
              <w:t>方面</w:t>
            </w:r>
            <w:r>
              <w:rPr>
                <w:rFonts w:hint="eastAsia" w:ascii="宋体" w:hAnsi="宋体"/>
                <w:sz w:val="24"/>
              </w:rPr>
              <w:tab/>
            </w:r>
            <w:r>
              <w:rPr>
                <w:rFonts w:hint="eastAsia" w:ascii="宋体" w:hAnsi="宋体"/>
                <w:sz w:val="24"/>
              </w:rPr>
              <w:t xml:space="preserve">   □遵守  </w:t>
            </w:r>
            <w:r>
              <w:rPr>
                <w:rFonts w:hint="eastAsia" w:ascii="宋体" w:hAnsi="宋体"/>
                <w:sz w:val="24"/>
              </w:rPr>
              <w:tab/>
            </w:r>
            <w:r>
              <w:rPr>
                <w:rFonts w:hint="eastAsia" w:ascii="宋体" w:hAnsi="宋体"/>
                <w:sz w:val="24"/>
              </w:rPr>
              <w:t>□一般</w:t>
            </w:r>
            <w:r>
              <w:rPr>
                <w:rFonts w:hint="eastAsia" w:ascii="宋体" w:hAnsi="宋体"/>
                <w:sz w:val="24"/>
              </w:rPr>
              <w:tab/>
            </w:r>
            <w:r>
              <w:rPr>
                <w:rFonts w:hint="eastAsia" w:ascii="宋体" w:hAnsi="宋体"/>
                <w:sz w:val="24"/>
              </w:rPr>
              <w:t xml:space="preserve">           □</w:t>
            </w:r>
            <w:r>
              <w:rPr>
                <w:rFonts w:hint="eastAsia" w:ascii="宋体" w:hAnsi="宋体"/>
                <w:sz w:val="24"/>
                <w:lang w:eastAsia="zh-CN"/>
              </w:rPr>
              <w:t>较差</w:t>
            </w:r>
          </w:p>
          <w:p w14:paraId="07493BA2">
            <w:pPr>
              <w:spacing w:line="360" w:lineRule="auto"/>
              <w:rPr>
                <w:rFonts w:ascii="宋体" w:hAnsi="宋体"/>
                <w:sz w:val="24"/>
              </w:rPr>
            </w:pPr>
            <w:r>
              <w:rPr>
                <w:rFonts w:hint="eastAsia" w:ascii="宋体" w:hAnsi="宋体"/>
                <w:sz w:val="24"/>
              </w:rPr>
              <w:t>2.解决问题</w:t>
            </w:r>
            <w:r>
              <w:rPr>
                <w:rFonts w:hint="eastAsia" w:ascii="宋体" w:hAnsi="宋体"/>
                <w:sz w:val="24"/>
                <w:lang w:eastAsia="zh-CN"/>
              </w:rPr>
              <w:t>的</w:t>
            </w:r>
            <w:r>
              <w:rPr>
                <w:rFonts w:hint="eastAsia" w:ascii="宋体" w:hAnsi="宋体"/>
                <w:sz w:val="24"/>
              </w:rPr>
              <w:t>效果</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□很好</w:t>
            </w:r>
            <w:r>
              <w:rPr>
                <w:rFonts w:hint="eastAsia" w:ascii="宋体" w:hAnsi="宋体"/>
                <w:sz w:val="24"/>
              </w:rPr>
              <w:tab/>
            </w:r>
            <w:r>
              <w:rPr>
                <w:rFonts w:hint="eastAsia" w:ascii="宋体" w:hAnsi="宋体"/>
                <w:sz w:val="24"/>
              </w:rPr>
              <w:t xml:space="preserve">    □基本可以解诀</w:t>
            </w:r>
            <w:r>
              <w:rPr>
                <w:rFonts w:hint="eastAsia" w:ascii="宋体" w:hAnsi="宋体"/>
                <w:sz w:val="24"/>
              </w:rPr>
              <w:tab/>
            </w:r>
            <w:r>
              <w:rPr>
                <w:rFonts w:hint="eastAsia" w:ascii="宋体" w:hAnsi="宋体"/>
                <w:sz w:val="24"/>
              </w:rPr>
              <w:t>□有待提高</w:t>
            </w:r>
          </w:p>
          <w:p w14:paraId="53752C49">
            <w:pPr>
              <w:spacing w:line="360" w:lineRule="auto"/>
              <w:rPr>
                <w:rFonts w:hint="eastAsia" w:ascii="宋体" w:hAnsi="宋体" w:eastAsia="宋体"/>
                <w:sz w:val="24"/>
                <w:lang w:eastAsia="zh-CN"/>
              </w:rPr>
            </w:pPr>
            <w:r>
              <w:rPr>
                <w:rFonts w:hint="eastAsia" w:ascii="宋体" w:hAnsi="宋体"/>
                <w:sz w:val="24"/>
              </w:rPr>
              <w:t>3.进行设备维护和巡检</w:t>
            </w:r>
            <w:r>
              <w:rPr>
                <w:rFonts w:hint="eastAsia" w:ascii="宋体" w:hAnsi="宋体"/>
                <w:sz w:val="24"/>
              </w:rPr>
              <w:tab/>
            </w:r>
            <w:r>
              <w:rPr>
                <w:rFonts w:hint="eastAsia" w:ascii="宋体" w:hAnsi="宋体"/>
                <w:sz w:val="24"/>
              </w:rPr>
              <w:tab/>
            </w:r>
            <w:r>
              <w:rPr>
                <w:rFonts w:hint="eastAsia" w:ascii="宋体" w:hAnsi="宋体"/>
                <w:sz w:val="24"/>
              </w:rPr>
              <w:t xml:space="preserve">   □按时巡检</w:t>
            </w:r>
            <w:r>
              <w:rPr>
                <w:rFonts w:hint="eastAsia" w:ascii="宋体" w:hAnsi="宋体"/>
                <w:sz w:val="24"/>
              </w:rPr>
              <w:tab/>
            </w:r>
            <w:r>
              <w:rPr>
                <w:rFonts w:hint="eastAsia" w:ascii="宋体" w:hAnsi="宋体"/>
                <w:sz w:val="24"/>
              </w:rPr>
              <w:t xml:space="preserve"> □一般</w:t>
            </w:r>
            <w:r>
              <w:rPr>
                <w:rFonts w:hint="eastAsia" w:ascii="宋体" w:hAnsi="宋体"/>
                <w:sz w:val="24"/>
              </w:rPr>
              <w:tab/>
            </w:r>
            <w:r>
              <w:rPr>
                <w:rFonts w:hint="eastAsia" w:ascii="宋体" w:hAnsi="宋体"/>
                <w:sz w:val="24"/>
              </w:rPr>
              <w:t xml:space="preserve">       □</w:t>
            </w:r>
            <w:r>
              <w:rPr>
                <w:rFonts w:hint="eastAsia" w:ascii="宋体" w:hAnsi="宋体"/>
                <w:sz w:val="24"/>
                <w:lang w:eastAsia="zh-CN"/>
              </w:rPr>
              <w:t>不满意</w:t>
            </w:r>
          </w:p>
          <w:p w14:paraId="17B861D5">
            <w:pPr>
              <w:spacing w:line="360" w:lineRule="auto"/>
              <w:rPr>
                <w:rFonts w:ascii="宋体" w:hAnsi="宋体"/>
                <w:sz w:val="24"/>
              </w:rPr>
            </w:pPr>
            <w:r>
              <w:rPr>
                <w:rFonts w:hint="eastAsia" w:ascii="宋体" w:hAnsi="宋体"/>
                <w:sz w:val="24"/>
              </w:rPr>
              <w:t>4.专业水平</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□很满意</w:t>
            </w:r>
            <w:r>
              <w:rPr>
                <w:rFonts w:hint="eastAsia" w:ascii="宋体" w:hAnsi="宋体"/>
                <w:sz w:val="24"/>
              </w:rPr>
              <w:tab/>
            </w:r>
            <w:r>
              <w:rPr>
                <w:rFonts w:hint="eastAsia" w:ascii="宋体" w:hAnsi="宋体"/>
                <w:sz w:val="24"/>
              </w:rPr>
              <w:t xml:space="preserve"> □基本满意</w:t>
            </w:r>
            <w:r>
              <w:rPr>
                <w:rFonts w:hint="eastAsia" w:ascii="宋体" w:hAnsi="宋体"/>
                <w:sz w:val="24"/>
              </w:rPr>
              <w:tab/>
            </w:r>
            <w:r>
              <w:rPr>
                <w:rFonts w:hint="eastAsia" w:ascii="宋体" w:hAnsi="宋体"/>
                <w:sz w:val="24"/>
              </w:rPr>
              <w:t xml:space="preserve">    </w:t>
            </w:r>
            <w:r>
              <w:rPr>
                <w:rFonts w:hint="eastAsia" w:ascii="宋体" w:hAnsi="宋体"/>
                <w:sz w:val="24"/>
                <w:lang w:eastAsia="zh-CN"/>
              </w:rPr>
              <w:t>□不满意</w:t>
            </w:r>
          </w:p>
          <w:p w14:paraId="13DADE09">
            <w:pPr>
              <w:spacing w:line="360" w:lineRule="auto"/>
              <w:rPr>
                <w:rFonts w:ascii="宋体" w:hAnsi="宋体"/>
                <w:sz w:val="24"/>
              </w:rPr>
            </w:pPr>
            <w:r>
              <w:rPr>
                <w:rFonts w:ascii="宋体" w:hAnsi="宋体"/>
                <w:sz w:val="24"/>
              </w:rPr>
              <w:t>5</w:t>
            </w:r>
            <w:r>
              <w:rPr>
                <w:rFonts w:hint="eastAsia" w:ascii="宋体" w:hAnsi="宋体"/>
                <w:sz w:val="24"/>
              </w:rPr>
              <w:t>.服务态度</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□很好</w:t>
            </w:r>
            <w:r>
              <w:rPr>
                <w:rFonts w:hint="eastAsia" w:ascii="宋体" w:hAnsi="宋体"/>
                <w:sz w:val="24"/>
              </w:rPr>
              <w:tab/>
            </w:r>
            <w:r>
              <w:rPr>
                <w:rFonts w:hint="eastAsia" w:ascii="宋体" w:hAnsi="宋体"/>
                <w:sz w:val="24"/>
              </w:rPr>
              <w:t xml:space="preserve">     □基本满意</w:t>
            </w:r>
            <w:r>
              <w:rPr>
                <w:rFonts w:hint="eastAsia" w:ascii="宋体" w:hAnsi="宋体"/>
                <w:sz w:val="24"/>
              </w:rPr>
              <w:tab/>
            </w:r>
            <w:r>
              <w:rPr>
                <w:rFonts w:hint="eastAsia" w:ascii="宋体" w:hAnsi="宋体"/>
                <w:sz w:val="24"/>
              </w:rPr>
              <w:t xml:space="preserve">    □较差</w:t>
            </w:r>
          </w:p>
          <w:p w14:paraId="1506589E">
            <w:pPr>
              <w:spacing w:line="360" w:lineRule="auto"/>
              <w:rPr>
                <w:rFonts w:ascii="宋体" w:hAnsi="宋体"/>
                <w:sz w:val="24"/>
              </w:rPr>
            </w:pPr>
            <w:r>
              <w:rPr>
                <w:rFonts w:hint="eastAsia" w:ascii="宋体" w:hAnsi="宋体"/>
                <w:sz w:val="24"/>
              </w:rPr>
              <w:t>6.在维修或现场服务后能否提出更好的改进建议</w:t>
            </w:r>
          </w:p>
          <w:p w14:paraId="507C3577">
            <w:pPr>
              <w:spacing w:line="360" w:lineRule="auto"/>
              <w:rPr>
                <w:rFonts w:ascii="宋体" w:hAnsi="宋体"/>
                <w:sz w:val="24"/>
              </w:rPr>
            </w:pPr>
            <w:r>
              <w:rPr>
                <w:rFonts w:hint="eastAsia" w:ascii="宋体" w:hAnsi="宋体"/>
                <w:sz w:val="24"/>
              </w:rPr>
              <w:t>□有，且实用性强</w:t>
            </w:r>
            <w:r>
              <w:rPr>
                <w:rFonts w:hint="eastAsia" w:ascii="宋体" w:hAnsi="宋体"/>
                <w:sz w:val="24"/>
              </w:rPr>
              <w:tab/>
            </w:r>
            <w:r>
              <w:rPr>
                <w:rFonts w:hint="eastAsia" w:ascii="宋体" w:hAnsi="宋体"/>
                <w:sz w:val="24"/>
              </w:rPr>
              <w:t xml:space="preserve">    □-般，实用性不强</w:t>
            </w:r>
            <w:r>
              <w:rPr>
                <w:rFonts w:hint="eastAsia" w:ascii="宋体" w:hAnsi="宋体"/>
                <w:sz w:val="24"/>
              </w:rPr>
              <w:tab/>
            </w:r>
            <w:r>
              <w:rPr>
                <w:rFonts w:hint="eastAsia" w:ascii="宋体" w:hAnsi="宋体"/>
                <w:sz w:val="24"/>
              </w:rPr>
              <w:t xml:space="preserve">    □没有，只完成本职服务</w:t>
            </w:r>
          </w:p>
          <w:p w14:paraId="13F2E3BA">
            <w:pPr>
              <w:spacing w:line="360" w:lineRule="auto"/>
              <w:rPr>
                <w:rFonts w:ascii="宋体" w:hAnsi="宋体"/>
                <w:sz w:val="24"/>
              </w:rPr>
            </w:pPr>
            <w:r>
              <w:rPr>
                <w:rFonts w:hint="eastAsia" w:ascii="宋体" w:hAnsi="宋体"/>
                <w:sz w:val="24"/>
              </w:rPr>
              <w:t>7.服务响应时间</w:t>
            </w:r>
            <w:r>
              <w:rPr>
                <w:rFonts w:hint="eastAsia" w:ascii="宋体" w:hAnsi="宋体"/>
                <w:sz w:val="24"/>
              </w:rPr>
              <w:tab/>
            </w:r>
            <w:r>
              <w:rPr>
                <w:rFonts w:hint="eastAsia" w:ascii="宋体" w:hAnsi="宋体"/>
                <w:sz w:val="24"/>
              </w:rPr>
              <w:tab/>
            </w:r>
            <w:r>
              <w:rPr>
                <w:rFonts w:hint="eastAsia" w:ascii="宋体" w:hAnsi="宋体"/>
                <w:sz w:val="24"/>
              </w:rPr>
              <w:t>□很及时</w:t>
            </w:r>
            <w:r>
              <w:rPr>
                <w:rFonts w:hint="eastAsia" w:ascii="宋体" w:hAnsi="宋体"/>
                <w:sz w:val="24"/>
              </w:rPr>
              <w:tab/>
            </w:r>
            <w:r>
              <w:rPr>
                <w:rFonts w:hint="eastAsia" w:ascii="宋体" w:hAnsi="宋体"/>
                <w:sz w:val="24"/>
              </w:rPr>
              <w:tab/>
            </w:r>
            <w:r>
              <w:rPr>
                <w:rFonts w:hint="eastAsia" w:ascii="宋体" w:hAnsi="宋体"/>
                <w:sz w:val="24"/>
              </w:rPr>
              <w:t xml:space="preserve"> □及时</w:t>
            </w:r>
            <w:r>
              <w:rPr>
                <w:rFonts w:hint="eastAsia" w:ascii="宋体" w:hAnsi="宋体"/>
                <w:sz w:val="24"/>
              </w:rPr>
              <w:tab/>
            </w:r>
            <w:r>
              <w:rPr>
                <w:rFonts w:hint="eastAsia" w:ascii="宋体" w:hAnsi="宋体"/>
                <w:sz w:val="24"/>
              </w:rPr>
              <w:t xml:space="preserve">     □不及时</w:t>
            </w:r>
          </w:p>
        </w:tc>
      </w:tr>
      <w:tr w14:paraId="46E0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000" w:type="pct"/>
          </w:tcPr>
          <w:p w14:paraId="603E1C37">
            <w:pPr>
              <w:spacing w:line="360" w:lineRule="auto"/>
              <w:rPr>
                <w:rFonts w:ascii="宋体" w:hAnsi="宋体"/>
                <w:sz w:val="24"/>
              </w:rPr>
            </w:pPr>
            <w:r>
              <w:rPr>
                <w:rFonts w:hint="eastAsia" w:ascii="宋体" w:hAnsi="宋体"/>
                <w:sz w:val="24"/>
              </w:rPr>
              <w:t>三、业务</w:t>
            </w:r>
            <w:r>
              <w:rPr>
                <w:rFonts w:ascii="宋体" w:hAnsi="宋体"/>
                <w:sz w:val="24"/>
              </w:rPr>
              <w:t>部门</w:t>
            </w:r>
            <w:r>
              <w:rPr>
                <w:rFonts w:hint="eastAsia" w:ascii="宋体" w:hAnsi="宋体"/>
                <w:sz w:val="24"/>
              </w:rPr>
              <w:t>本期总体评价和</w:t>
            </w:r>
            <w:r>
              <w:rPr>
                <w:rFonts w:ascii="宋体" w:hAnsi="宋体"/>
                <w:sz w:val="24"/>
              </w:rPr>
              <w:t>意见建议</w:t>
            </w:r>
          </w:p>
        </w:tc>
      </w:tr>
      <w:tr w14:paraId="29510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8" w:hRule="atLeast"/>
        </w:trPr>
        <w:tc>
          <w:tcPr>
            <w:tcW w:w="5000" w:type="pct"/>
          </w:tcPr>
          <w:p w14:paraId="16F9F59D">
            <w:pPr>
              <w:spacing w:line="360" w:lineRule="auto"/>
              <w:rPr>
                <w:rFonts w:ascii="宋体" w:hAnsi="宋体"/>
                <w:sz w:val="24"/>
              </w:rPr>
            </w:pPr>
          </w:p>
          <w:p w14:paraId="09F71F7C">
            <w:pPr>
              <w:spacing w:line="360" w:lineRule="auto"/>
              <w:rPr>
                <w:rFonts w:ascii="宋体" w:hAnsi="宋体"/>
                <w:sz w:val="24"/>
              </w:rPr>
            </w:pPr>
          </w:p>
          <w:p w14:paraId="4FB6237D">
            <w:pPr>
              <w:pStyle w:val="6"/>
              <w:rPr>
                <w:rFonts w:ascii="宋体" w:hAnsi="宋体"/>
                <w:sz w:val="24"/>
              </w:rPr>
            </w:pPr>
          </w:p>
          <w:p w14:paraId="094E0C7B">
            <w:pPr>
              <w:rPr>
                <w:rFonts w:ascii="宋体" w:hAnsi="宋体"/>
                <w:sz w:val="24"/>
              </w:rPr>
            </w:pPr>
          </w:p>
          <w:p w14:paraId="1ABADF9C">
            <w:pPr>
              <w:pStyle w:val="6"/>
              <w:rPr>
                <w:rFonts w:ascii="宋体" w:hAnsi="宋体"/>
                <w:sz w:val="24"/>
              </w:rPr>
            </w:pPr>
          </w:p>
          <w:p w14:paraId="3377343F">
            <w:pPr>
              <w:rPr>
                <w:rFonts w:ascii="宋体" w:hAnsi="宋体"/>
                <w:sz w:val="24"/>
              </w:rPr>
            </w:pPr>
          </w:p>
          <w:p w14:paraId="3EA4160C">
            <w:pPr>
              <w:pStyle w:val="6"/>
              <w:rPr>
                <w:rFonts w:ascii="宋体" w:hAnsi="宋体"/>
                <w:sz w:val="24"/>
              </w:rPr>
            </w:pPr>
          </w:p>
          <w:p w14:paraId="0E43F150"/>
          <w:p w14:paraId="5C6A8571">
            <w:pPr>
              <w:rPr>
                <w:rFonts w:ascii="宋体" w:hAnsi="宋体"/>
                <w:sz w:val="24"/>
              </w:rPr>
            </w:pPr>
          </w:p>
          <w:p w14:paraId="6DB1F4BE">
            <w:pPr>
              <w:pStyle w:val="6"/>
            </w:pPr>
          </w:p>
          <w:p w14:paraId="5A82A9B4">
            <w:pPr>
              <w:spacing w:line="360" w:lineRule="auto"/>
              <w:rPr>
                <w:rFonts w:ascii="宋体" w:hAnsi="宋体"/>
                <w:sz w:val="24"/>
              </w:rPr>
            </w:pPr>
          </w:p>
          <w:p w14:paraId="17C143E9">
            <w:pPr>
              <w:spacing w:line="360" w:lineRule="auto"/>
              <w:jc w:val="center"/>
              <w:rPr>
                <w:rFonts w:ascii="宋体" w:hAnsi="宋体"/>
                <w:sz w:val="24"/>
              </w:rPr>
            </w:pPr>
            <w:r>
              <w:rPr>
                <w:rFonts w:hint="eastAsia" w:ascii="宋体" w:hAnsi="宋体"/>
                <w:sz w:val="24"/>
                <w:lang w:val="en-US" w:eastAsia="zh-CN"/>
              </w:rPr>
              <w:t xml:space="preserve">               </w:t>
            </w:r>
            <w:r>
              <w:rPr>
                <w:rFonts w:hint="eastAsia" w:ascii="宋体" w:hAnsi="宋体"/>
                <w:sz w:val="24"/>
              </w:rPr>
              <w:t>业务</w:t>
            </w:r>
            <w:r>
              <w:rPr>
                <w:rFonts w:ascii="宋体" w:hAnsi="宋体"/>
                <w:sz w:val="24"/>
              </w:rPr>
              <w:t>代表</w:t>
            </w:r>
            <w:r>
              <w:rPr>
                <w:rFonts w:hint="eastAsia" w:ascii="宋体" w:hAnsi="宋体"/>
                <w:sz w:val="24"/>
              </w:rPr>
              <w:t>（签字）</w:t>
            </w:r>
            <w:r>
              <w:rPr>
                <w:rFonts w:ascii="宋体" w:hAnsi="宋体"/>
                <w:sz w:val="24"/>
              </w:rPr>
              <w:t>：</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p>
          <w:p w14:paraId="0D77BE80">
            <w:pPr>
              <w:spacing w:line="360" w:lineRule="auto"/>
              <w:jc w:val="right"/>
              <w:rPr>
                <w:rFonts w:ascii="宋体" w:hAnsi="宋体"/>
                <w:sz w:val="24"/>
              </w:rPr>
            </w:pPr>
            <w:r>
              <w:rPr>
                <w:rFonts w:hint="eastAsia" w:ascii="宋体" w:hAnsi="宋体"/>
                <w:sz w:val="24"/>
              </w:rPr>
              <w:t>20</w:t>
            </w:r>
            <w:r>
              <w:rPr>
                <w:rFonts w:hint="eastAsia" w:ascii="宋体" w:hAnsi="宋体"/>
                <w:sz w:val="24"/>
                <w:lang w:val="en-US" w:eastAsia="zh-CN"/>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p>
        </w:tc>
      </w:tr>
    </w:tbl>
    <w:p w14:paraId="0AC48CAD"/>
    <w:p w14:paraId="7F5D3961">
      <w:pPr>
        <w:pStyle w:val="6"/>
        <w:sectPr>
          <w:pgSz w:w="11906" w:h="16838"/>
          <w:pgMar w:top="1440" w:right="1800" w:bottom="1440" w:left="1800" w:header="851" w:footer="992" w:gutter="0"/>
          <w:pgNumType w:start="1"/>
          <w:cols w:space="720" w:num="1"/>
          <w:docGrid w:type="lines" w:linePitch="312" w:charSpace="0"/>
        </w:sectPr>
      </w:pPr>
    </w:p>
    <w:p w14:paraId="069145CE">
      <w:pPr>
        <w:pStyle w:val="27"/>
        <w:ind w:firstLine="0" w:firstLineChars="0"/>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多媒体教学设施运行维护服务评价表(维护期第</w:t>
      </w:r>
      <w:r>
        <w:rPr>
          <w:rFonts w:hint="eastAsia" w:ascii="方正小标宋简体" w:hAnsi="方正小标宋简体" w:eastAsia="方正小标宋简体" w:cs="方正小标宋简体"/>
          <w:b w:val="0"/>
          <w:bCs/>
          <w:sz w:val="32"/>
          <w:szCs w:val="32"/>
          <w:lang w:val="en-US" w:eastAsia="zh-CN"/>
        </w:rPr>
        <w:t>X</w:t>
      </w:r>
      <w:r>
        <w:rPr>
          <w:rFonts w:hint="eastAsia" w:ascii="方正小标宋简体" w:hAnsi="方正小标宋简体" w:eastAsia="方正小标宋简体" w:cs="方正小标宋简体"/>
          <w:b w:val="0"/>
          <w:bCs/>
          <w:sz w:val="32"/>
          <w:szCs w:val="32"/>
        </w:rPr>
        <w:t>个季度)</w:t>
      </w:r>
    </w:p>
    <w:p w14:paraId="1F660F0B">
      <w:pPr>
        <w:rPr>
          <w:b/>
        </w:rPr>
      </w:pPr>
      <w:r>
        <w:rPr>
          <w:rFonts w:hint="eastAsia"/>
          <w:b/>
        </w:rPr>
        <w:t>评价</w:t>
      </w:r>
      <w:r>
        <w:rPr>
          <w:b/>
        </w:rPr>
        <w:t>对象：</w:t>
      </w:r>
    </w:p>
    <w:p w14:paraId="5CC2AEB6">
      <w:r>
        <w:rPr>
          <w:rFonts w:hint="eastAsia"/>
        </w:rPr>
        <w:t>请在</w:t>
      </w:r>
      <w:r>
        <w:t>评价表相应空格打“</w:t>
      </w:r>
      <w:r>
        <w:rPr>
          <w:rFonts w:hint="eastAsia"/>
        </w:rPr>
        <w:t>√</w:t>
      </w:r>
      <w:r>
        <w:t>”</w:t>
      </w:r>
    </w:p>
    <w:tbl>
      <w:tblPr>
        <w:tblStyle w:val="15"/>
        <w:tblW w:w="1394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37"/>
        <w:gridCol w:w="1134"/>
        <w:gridCol w:w="2818"/>
        <w:gridCol w:w="2818"/>
        <w:gridCol w:w="2818"/>
        <w:gridCol w:w="2819"/>
      </w:tblGrid>
      <w:tr w14:paraId="12D5F7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1537" w:type="dxa"/>
            <w:tcBorders>
              <w:top w:val="single" w:color="auto" w:sz="18" w:space="0"/>
              <w:left w:val="single" w:color="auto" w:sz="18" w:space="0"/>
              <w:bottom w:val="single" w:color="auto" w:sz="18" w:space="0"/>
            </w:tcBorders>
            <w:vAlign w:val="center"/>
          </w:tcPr>
          <w:p w14:paraId="3E43B906">
            <w:pPr>
              <w:jc w:val="center"/>
              <w:rPr>
                <w:b/>
              </w:rPr>
            </w:pPr>
            <w:r>
              <w:rPr>
                <w:rFonts w:hint="eastAsia"/>
                <w:b/>
              </w:rPr>
              <w:t>评价项目</w:t>
            </w:r>
          </w:p>
        </w:tc>
        <w:tc>
          <w:tcPr>
            <w:tcW w:w="1134" w:type="dxa"/>
            <w:tcBorders>
              <w:top w:val="single" w:color="auto" w:sz="18" w:space="0"/>
              <w:bottom w:val="single" w:color="auto" w:sz="18" w:space="0"/>
            </w:tcBorders>
            <w:vAlign w:val="center"/>
          </w:tcPr>
          <w:p w14:paraId="6D68794C">
            <w:pPr>
              <w:jc w:val="center"/>
              <w:rPr>
                <w:b/>
              </w:rPr>
            </w:pPr>
            <w:r>
              <w:rPr>
                <w:b/>
              </w:rPr>
              <w:t>等次</w:t>
            </w:r>
          </w:p>
        </w:tc>
        <w:tc>
          <w:tcPr>
            <w:tcW w:w="2818" w:type="dxa"/>
            <w:tcBorders>
              <w:top w:val="single" w:color="auto" w:sz="18" w:space="0"/>
              <w:bottom w:val="single" w:color="auto" w:sz="18" w:space="0"/>
            </w:tcBorders>
            <w:vAlign w:val="center"/>
          </w:tcPr>
          <w:p w14:paraId="6D242B76">
            <w:pPr>
              <w:jc w:val="center"/>
              <w:rPr>
                <w:rFonts w:hint="default" w:eastAsia="宋体"/>
                <w:b/>
                <w:lang w:val="en-US" w:eastAsia="zh-CN"/>
              </w:rPr>
            </w:pPr>
            <w:r>
              <w:rPr>
                <w:rFonts w:hint="eastAsia"/>
                <w:b/>
                <w:lang w:val="en-US" w:eastAsia="zh-CN"/>
              </w:rPr>
              <w:t>校办公室</w:t>
            </w:r>
          </w:p>
        </w:tc>
        <w:tc>
          <w:tcPr>
            <w:tcW w:w="2818" w:type="dxa"/>
            <w:tcBorders>
              <w:top w:val="single" w:color="auto" w:sz="18" w:space="0"/>
              <w:bottom w:val="single" w:color="auto" w:sz="18" w:space="0"/>
            </w:tcBorders>
            <w:vAlign w:val="center"/>
          </w:tcPr>
          <w:p w14:paraId="16FFFD76">
            <w:pPr>
              <w:jc w:val="center"/>
              <w:rPr>
                <w:b/>
              </w:rPr>
            </w:pPr>
            <w:r>
              <w:rPr>
                <w:rFonts w:hint="eastAsia"/>
                <w:b/>
              </w:rPr>
              <w:t>教务处</w:t>
            </w:r>
          </w:p>
        </w:tc>
        <w:tc>
          <w:tcPr>
            <w:tcW w:w="2818" w:type="dxa"/>
            <w:tcBorders>
              <w:top w:val="single" w:color="auto" w:sz="18" w:space="0"/>
              <w:bottom w:val="single" w:color="auto" w:sz="18" w:space="0"/>
            </w:tcBorders>
            <w:vAlign w:val="center"/>
          </w:tcPr>
          <w:p w14:paraId="2B73436A">
            <w:pPr>
              <w:jc w:val="center"/>
              <w:rPr>
                <w:rFonts w:hint="eastAsia" w:eastAsia="宋体"/>
                <w:b/>
                <w:lang w:val="en-US" w:eastAsia="zh-CN"/>
              </w:rPr>
            </w:pPr>
            <w:r>
              <w:rPr>
                <w:rFonts w:hint="eastAsia"/>
                <w:b/>
                <w:lang w:val="en-US" w:eastAsia="zh-CN"/>
              </w:rPr>
              <w:t>组织人事处</w:t>
            </w:r>
          </w:p>
        </w:tc>
        <w:tc>
          <w:tcPr>
            <w:tcW w:w="2819" w:type="dxa"/>
            <w:tcBorders>
              <w:top w:val="single" w:color="auto" w:sz="18" w:space="0"/>
              <w:bottom w:val="single" w:color="auto" w:sz="18" w:space="0"/>
              <w:right w:val="single" w:color="auto" w:sz="18" w:space="0"/>
            </w:tcBorders>
            <w:vAlign w:val="center"/>
          </w:tcPr>
          <w:p w14:paraId="51349E7F">
            <w:pPr>
              <w:jc w:val="center"/>
              <w:rPr>
                <w:b/>
              </w:rPr>
            </w:pPr>
            <w:r>
              <w:rPr>
                <w:rFonts w:hint="eastAsia"/>
                <w:b/>
              </w:rPr>
              <w:t>信息技术</w:t>
            </w:r>
            <w:r>
              <w:rPr>
                <w:b/>
              </w:rPr>
              <w:t>部</w:t>
            </w:r>
          </w:p>
        </w:tc>
      </w:tr>
      <w:tr w14:paraId="192B4E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1537" w:type="dxa"/>
            <w:vMerge w:val="restart"/>
            <w:tcBorders>
              <w:top w:val="single" w:color="auto" w:sz="18" w:space="0"/>
              <w:left w:val="single" w:color="auto" w:sz="18" w:space="0"/>
            </w:tcBorders>
            <w:vAlign w:val="center"/>
          </w:tcPr>
          <w:p w14:paraId="395D5E2C">
            <w:pPr>
              <w:jc w:val="center"/>
              <w:rPr>
                <w:b/>
              </w:rPr>
            </w:pPr>
            <w:r>
              <w:rPr>
                <w:rFonts w:hint="eastAsia"/>
                <w:b/>
              </w:rPr>
              <w:t>服务</w:t>
            </w:r>
            <w:r>
              <w:rPr>
                <w:b/>
              </w:rPr>
              <w:t>态度及敬业精神</w:t>
            </w:r>
          </w:p>
        </w:tc>
        <w:tc>
          <w:tcPr>
            <w:tcW w:w="1134" w:type="dxa"/>
            <w:tcBorders>
              <w:top w:val="single" w:color="auto" w:sz="18" w:space="0"/>
            </w:tcBorders>
            <w:vAlign w:val="center"/>
          </w:tcPr>
          <w:p w14:paraId="4D031087">
            <w:pPr>
              <w:jc w:val="center"/>
            </w:pPr>
            <w:r>
              <w:rPr>
                <w:rFonts w:hint="eastAsia"/>
              </w:rPr>
              <w:t>优秀</w:t>
            </w:r>
          </w:p>
        </w:tc>
        <w:tc>
          <w:tcPr>
            <w:tcW w:w="2818" w:type="dxa"/>
            <w:tcBorders>
              <w:top w:val="single" w:color="auto" w:sz="18" w:space="0"/>
            </w:tcBorders>
            <w:vAlign w:val="center"/>
          </w:tcPr>
          <w:p w14:paraId="64E2293F">
            <w:pPr>
              <w:jc w:val="center"/>
            </w:pPr>
          </w:p>
        </w:tc>
        <w:tc>
          <w:tcPr>
            <w:tcW w:w="2818" w:type="dxa"/>
            <w:tcBorders>
              <w:top w:val="single" w:color="auto" w:sz="18" w:space="0"/>
            </w:tcBorders>
            <w:vAlign w:val="center"/>
          </w:tcPr>
          <w:p w14:paraId="013094B3">
            <w:pPr>
              <w:jc w:val="center"/>
            </w:pPr>
          </w:p>
        </w:tc>
        <w:tc>
          <w:tcPr>
            <w:tcW w:w="2818" w:type="dxa"/>
            <w:tcBorders>
              <w:top w:val="single" w:color="auto" w:sz="18" w:space="0"/>
            </w:tcBorders>
            <w:vAlign w:val="center"/>
          </w:tcPr>
          <w:p w14:paraId="01FB71C1">
            <w:pPr>
              <w:jc w:val="center"/>
            </w:pPr>
          </w:p>
        </w:tc>
        <w:tc>
          <w:tcPr>
            <w:tcW w:w="2819" w:type="dxa"/>
            <w:tcBorders>
              <w:top w:val="single" w:color="auto" w:sz="18" w:space="0"/>
              <w:right w:val="single" w:color="auto" w:sz="18" w:space="0"/>
            </w:tcBorders>
            <w:vAlign w:val="center"/>
          </w:tcPr>
          <w:p w14:paraId="0649F709">
            <w:pPr>
              <w:jc w:val="center"/>
            </w:pPr>
          </w:p>
        </w:tc>
      </w:tr>
      <w:tr w14:paraId="6E43C6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1537" w:type="dxa"/>
            <w:vMerge w:val="continue"/>
            <w:tcBorders>
              <w:left w:val="single" w:color="auto" w:sz="18" w:space="0"/>
            </w:tcBorders>
            <w:vAlign w:val="center"/>
          </w:tcPr>
          <w:p w14:paraId="120704B4">
            <w:pPr>
              <w:jc w:val="center"/>
              <w:rPr>
                <w:b/>
              </w:rPr>
            </w:pPr>
          </w:p>
        </w:tc>
        <w:tc>
          <w:tcPr>
            <w:tcW w:w="1134" w:type="dxa"/>
            <w:vAlign w:val="center"/>
          </w:tcPr>
          <w:p w14:paraId="15892A18">
            <w:pPr>
              <w:jc w:val="center"/>
            </w:pPr>
            <w:r>
              <w:rPr>
                <w:rFonts w:hint="eastAsia"/>
              </w:rPr>
              <w:t>良好</w:t>
            </w:r>
          </w:p>
        </w:tc>
        <w:tc>
          <w:tcPr>
            <w:tcW w:w="2818" w:type="dxa"/>
            <w:vAlign w:val="center"/>
          </w:tcPr>
          <w:p w14:paraId="5EDA422E">
            <w:pPr>
              <w:jc w:val="center"/>
            </w:pPr>
          </w:p>
        </w:tc>
        <w:tc>
          <w:tcPr>
            <w:tcW w:w="2818" w:type="dxa"/>
            <w:vAlign w:val="center"/>
          </w:tcPr>
          <w:p w14:paraId="2D81B4B8">
            <w:pPr>
              <w:jc w:val="center"/>
            </w:pPr>
          </w:p>
        </w:tc>
        <w:tc>
          <w:tcPr>
            <w:tcW w:w="2818" w:type="dxa"/>
            <w:vAlign w:val="center"/>
          </w:tcPr>
          <w:p w14:paraId="2DBF2059">
            <w:pPr>
              <w:jc w:val="center"/>
            </w:pPr>
          </w:p>
        </w:tc>
        <w:tc>
          <w:tcPr>
            <w:tcW w:w="2819" w:type="dxa"/>
            <w:tcBorders>
              <w:right w:val="single" w:color="auto" w:sz="18" w:space="0"/>
            </w:tcBorders>
            <w:vAlign w:val="center"/>
          </w:tcPr>
          <w:p w14:paraId="0E00D9EF">
            <w:pPr>
              <w:jc w:val="center"/>
            </w:pPr>
          </w:p>
        </w:tc>
      </w:tr>
      <w:tr w14:paraId="51C689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bottom w:val="single" w:color="auto" w:sz="18" w:space="0"/>
            </w:tcBorders>
            <w:vAlign w:val="center"/>
          </w:tcPr>
          <w:p w14:paraId="27792548">
            <w:pPr>
              <w:jc w:val="center"/>
              <w:rPr>
                <w:b/>
              </w:rPr>
            </w:pPr>
          </w:p>
        </w:tc>
        <w:tc>
          <w:tcPr>
            <w:tcW w:w="1134" w:type="dxa"/>
            <w:tcBorders>
              <w:bottom w:val="single" w:color="auto" w:sz="18" w:space="0"/>
            </w:tcBorders>
            <w:vAlign w:val="center"/>
          </w:tcPr>
          <w:p w14:paraId="048F64CF">
            <w:pPr>
              <w:jc w:val="center"/>
            </w:pPr>
            <w:r>
              <w:rPr>
                <w:rFonts w:hint="eastAsia"/>
              </w:rPr>
              <w:t>一般</w:t>
            </w:r>
          </w:p>
        </w:tc>
        <w:tc>
          <w:tcPr>
            <w:tcW w:w="2818" w:type="dxa"/>
            <w:tcBorders>
              <w:bottom w:val="single" w:color="auto" w:sz="18" w:space="0"/>
            </w:tcBorders>
            <w:vAlign w:val="center"/>
          </w:tcPr>
          <w:p w14:paraId="3A0EEF3F">
            <w:pPr>
              <w:jc w:val="center"/>
            </w:pPr>
          </w:p>
        </w:tc>
        <w:tc>
          <w:tcPr>
            <w:tcW w:w="2818" w:type="dxa"/>
            <w:tcBorders>
              <w:bottom w:val="single" w:color="auto" w:sz="18" w:space="0"/>
            </w:tcBorders>
            <w:vAlign w:val="center"/>
          </w:tcPr>
          <w:p w14:paraId="47DA72B9">
            <w:pPr>
              <w:jc w:val="center"/>
            </w:pPr>
          </w:p>
        </w:tc>
        <w:tc>
          <w:tcPr>
            <w:tcW w:w="2818" w:type="dxa"/>
            <w:tcBorders>
              <w:bottom w:val="single" w:color="auto" w:sz="18" w:space="0"/>
            </w:tcBorders>
            <w:vAlign w:val="center"/>
          </w:tcPr>
          <w:p w14:paraId="4DE03E7E">
            <w:pPr>
              <w:jc w:val="center"/>
            </w:pPr>
          </w:p>
        </w:tc>
        <w:tc>
          <w:tcPr>
            <w:tcW w:w="2819" w:type="dxa"/>
            <w:tcBorders>
              <w:bottom w:val="single" w:color="auto" w:sz="18" w:space="0"/>
              <w:right w:val="single" w:color="auto" w:sz="18" w:space="0"/>
            </w:tcBorders>
            <w:vAlign w:val="center"/>
          </w:tcPr>
          <w:p w14:paraId="1C595C45">
            <w:pPr>
              <w:jc w:val="center"/>
            </w:pPr>
          </w:p>
        </w:tc>
      </w:tr>
      <w:tr w14:paraId="05B41A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1537" w:type="dxa"/>
            <w:vMerge w:val="restart"/>
            <w:tcBorders>
              <w:top w:val="single" w:color="auto" w:sz="18" w:space="0"/>
              <w:left w:val="single" w:color="auto" w:sz="18" w:space="0"/>
            </w:tcBorders>
            <w:vAlign w:val="center"/>
          </w:tcPr>
          <w:p w14:paraId="76D9F2B0">
            <w:pPr>
              <w:jc w:val="center"/>
              <w:rPr>
                <w:b/>
              </w:rPr>
            </w:pPr>
            <w:r>
              <w:rPr>
                <w:rFonts w:hint="eastAsia"/>
                <w:b/>
              </w:rPr>
              <w:t>服务</w:t>
            </w:r>
            <w:r>
              <w:rPr>
                <w:b/>
              </w:rPr>
              <w:t>响应速度</w:t>
            </w:r>
          </w:p>
        </w:tc>
        <w:tc>
          <w:tcPr>
            <w:tcW w:w="1134" w:type="dxa"/>
            <w:tcBorders>
              <w:top w:val="single" w:color="auto" w:sz="18" w:space="0"/>
            </w:tcBorders>
            <w:vAlign w:val="center"/>
          </w:tcPr>
          <w:p w14:paraId="22CFF37F">
            <w:pPr>
              <w:jc w:val="center"/>
            </w:pPr>
            <w:r>
              <w:rPr>
                <w:rFonts w:hint="eastAsia"/>
              </w:rPr>
              <w:t>快速</w:t>
            </w:r>
          </w:p>
        </w:tc>
        <w:tc>
          <w:tcPr>
            <w:tcW w:w="2818" w:type="dxa"/>
            <w:tcBorders>
              <w:top w:val="single" w:color="auto" w:sz="18" w:space="0"/>
            </w:tcBorders>
            <w:vAlign w:val="center"/>
          </w:tcPr>
          <w:p w14:paraId="0133878D">
            <w:pPr>
              <w:jc w:val="center"/>
            </w:pPr>
          </w:p>
        </w:tc>
        <w:tc>
          <w:tcPr>
            <w:tcW w:w="2818" w:type="dxa"/>
            <w:tcBorders>
              <w:top w:val="single" w:color="auto" w:sz="18" w:space="0"/>
            </w:tcBorders>
            <w:vAlign w:val="center"/>
          </w:tcPr>
          <w:p w14:paraId="5237E793">
            <w:pPr>
              <w:jc w:val="center"/>
            </w:pPr>
          </w:p>
        </w:tc>
        <w:tc>
          <w:tcPr>
            <w:tcW w:w="2818" w:type="dxa"/>
            <w:tcBorders>
              <w:top w:val="single" w:color="auto" w:sz="18" w:space="0"/>
            </w:tcBorders>
            <w:vAlign w:val="center"/>
          </w:tcPr>
          <w:p w14:paraId="2818DD5D">
            <w:pPr>
              <w:jc w:val="center"/>
            </w:pPr>
          </w:p>
        </w:tc>
        <w:tc>
          <w:tcPr>
            <w:tcW w:w="2819" w:type="dxa"/>
            <w:tcBorders>
              <w:top w:val="single" w:color="auto" w:sz="18" w:space="0"/>
              <w:right w:val="single" w:color="auto" w:sz="18" w:space="0"/>
            </w:tcBorders>
            <w:vAlign w:val="center"/>
          </w:tcPr>
          <w:p w14:paraId="65659813">
            <w:pPr>
              <w:jc w:val="center"/>
            </w:pPr>
          </w:p>
        </w:tc>
      </w:tr>
      <w:tr w14:paraId="2E18CD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tcBorders>
            <w:vAlign w:val="center"/>
          </w:tcPr>
          <w:p w14:paraId="2ECC0A2A">
            <w:pPr>
              <w:jc w:val="center"/>
              <w:rPr>
                <w:b/>
              </w:rPr>
            </w:pPr>
          </w:p>
        </w:tc>
        <w:tc>
          <w:tcPr>
            <w:tcW w:w="1134" w:type="dxa"/>
            <w:vAlign w:val="center"/>
          </w:tcPr>
          <w:p w14:paraId="2EE66E6B">
            <w:pPr>
              <w:jc w:val="center"/>
            </w:pPr>
            <w:r>
              <w:rPr>
                <w:rFonts w:hint="eastAsia"/>
              </w:rPr>
              <w:t>及时</w:t>
            </w:r>
          </w:p>
        </w:tc>
        <w:tc>
          <w:tcPr>
            <w:tcW w:w="2818" w:type="dxa"/>
            <w:vAlign w:val="center"/>
          </w:tcPr>
          <w:p w14:paraId="4E146BE8">
            <w:pPr>
              <w:jc w:val="center"/>
            </w:pPr>
          </w:p>
        </w:tc>
        <w:tc>
          <w:tcPr>
            <w:tcW w:w="2818" w:type="dxa"/>
            <w:vAlign w:val="center"/>
          </w:tcPr>
          <w:p w14:paraId="55EB4105">
            <w:pPr>
              <w:jc w:val="center"/>
            </w:pPr>
          </w:p>
        </w:tc>
        <w:tc>
          <w:tcPr>
            <w:tcW w:w="2818" w:type="dxa"/>
            <w:vAlign w:val="center"/>
          </w:tcPr>
          <w:p w14:paraId="313AADE2">
            <w:pPr>
              <w:jc w:val="center"/>
            </w:pPr>
          </w:p>
        </w:tc>
        <w:tc>
          <w:tcPr>
            <w:tcW w:w="2819" w:type="dxa"/>
            <w:tcBorders>
              <w:right w:val="single" w:color="auto" w:sz="18" w:space="0"/>
            </w:tcBorders>
            <w:vAlign w:val="center"/>
          </w:tcPr>
          <w:p w14:paraId="21D54BBE">
            <w:pPr>
              <w:jc w:val="center"/>
            </w:pPr>
          </w:p>
        </w:tc>
      </w:tr>
      <w:tr w14:paraId="4CA68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bottom w:val="single" w:color="auto" w:sz="18" w:space="0"/>
            </w:tcBorders>
            <w:vAlign w:val="center"/>
          </w:tcPr>
          <w:p w14:paraId="59F8F457">
            <w:pPr>
              <w:jc w:val="center"/>
              <w:rPr>
                <w:b/>
              </w:rPr>
            </w:pPr>
          </w:p>
        </w:tc>
        <w:tc>
          <w:tcPr>
            <w:tcW w:w="1134" w:type="dxa"/>
            <w:tcBorders>
              <w:bottom w:val="single" w:color="auto" w:sz="18" w:space="0"/>
            </w:tcBorders>
            <w:vAlign w:val="center"/>
          </w:tcPr>
          <w:p w14:paraId="6B01851B">
            <w:pPr>
              <w:jc w:val="center"/>
            </w:pPr>
            <w:r>
              <w:rPr>
                <w:rFonts w:hint="eastAsia"/>
              </w:rPr>
              <w:t>不及时</w:t>
            </w:r>
          </w:p>
        </w:tc>
        <w:tc>
          <w:tcPr>
            <w:tcW w:w="2818" w:type="dxa"/>
            <w:tcBorders>
              <w:bottom w:val="single" w:color="auto" w:sz="18" w:space="0"/>
            </w:tcBorders>
            <w:vAlign w:val="center"/>
          </w:tcPr>
          <w:p w14:paraId="292830AF">
            <w:pPr>
              <w:jc w:val="center"/>
            </w:pPr>
          </w:p>
        </w:tc>
        <w:tc>
          <w:tcPr>
            <w:tcW w:w="2818" w:type="dxa"/>
            <w:tcBorders>
              <w:bottom w:val="single" w:color="auto" w:sz="18" w:space="0"/>
            </w:tcBorders>
            <w:vAlign w:val="center"/>
          </w:tcPr>
          <w:p w14:paraId="0FBD7ACF">
            <w:pPr>
              <w:jc w:val="center"/>
            </w:pPr>
          </w:p>
        </w:tc>
        <w:tc>
          <w:tcPr>
            <w:tcW w:w="2818" w:type="dxa"/>
            <w:tcBorders>
              <w:bottom w:val="single" w:color="auto" w:sz="18" w:space="0"/>
            </w:tcBorders>
            <w:vAlign w:val="center"/>
          </w:tcPr>
          <w:p w14:paraId="6D248640">
            <w:pPr>
              <w:jc w:val="center"/>
            </w:pPr>
          </w:p>
        </w:tc>
        <w:tc>
          <w:tcPr>
            <w:tcW w:w="2819" w:type="dxa"/>
            <w:tcBorders>
              <w:bottom w:val="single" w:color="auto" w:sz="18" w:space="0"/>
              <w:right w:val="single" w:color="auto" w:sz="18" w:space="0"/>
            </w:tcBorders>
            <w:vAlign w:val="center"/>
          </w:tcPr>
          <w:p w14:paraId="5DED9496">
            <w:pPr>
              <w:jc w:val="center"/>
            </w:pPr>
          </w:p>
        </w:tc>
      </w:tr>
      <w:tr w14:paraId="107F80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1" w:hRule="atLeast"/>
        </w:trPr>
        <w:tc>
          <w:tcPr>
            <w:tcW w:w="1537" w:type="dxa"/>
            <w:vMerge w:val="restart"/>
            <w:tcBorders>
              <w:top w:val="single" w:color="auto" w:sz="18" w:space="0"/>
              <w:left w:val="single" w:color="auto" w:sz="18" w:space="0"/>
            </w:tcBorders>
            <w:vAlign w:val="center"/>
          </w:tcPr>
          <w:p w14:paraId="0C4983C5">
            <w:pPr>
              <w:jc w:val="center"/>
              <w:rPr>
                <w:b/>
              </w:rPr>
            </w:pPr>
            <w:r>
              <w:rPr>
                <w:rFonts w:hint="eastAsia"/>
                <w:b/>
              </w:rPr>
              <w:t>业务</w:t>
            </w:r>
            <w:r>
              <w:rPr>
                <w:b/>
              </w:rPr>
              <w:t>技术水平</w:t>
            </w:r>
          </w:p>
        </w:tc>
        <w:tc>
          <w:tcPr>
            <w:tcW w:w="1134" w:type="dxa"/>
            <w:tcBorders>
              <w:top w:val="single" w:color="auto" w:sz="18" w:space="0"/>
            </w:tcBorders>
            <w:vAlign w:val="center"/>
          </w:tcPr>
          <w:p w14:paraId="487AF635">
            <w:pPr>
              <w:jc w:val="center"/>
            </w:pPr>
            <w:r>
              <w:rPr>
                <w:rFonts w:hint="eastAsia"/>
              </w:rPr>
              <w:t>精通</w:t>
            </w:r>
          </w:p>
        </w:tc>
        <w:tc>
          <w:tcPr>
            <w:tcW w:w="2818" w:type="dxa"/>
            <w:tcBorders>
              <w:top w:val="single" w:color="auto" w:sz="18" w:space="0"/>
            </w:tcBorders>
            <w:vAlign w:val="center"/>
          </w:tcPr>
          <w:p w14:paraId="0B9A66EE">
            <w:pPr>
              <w:jc w:val="center"/>
            </w:pPr>
          </w:p>
        </w:tc>
        <w:tc>
          <w:tcPr>
            <w:tcW w:w="2818" w:type="dxa"/>
            <w:tcBorders>
              <w:top w:val="single" w:color="auto" w:sz="18" w:space="0"/>
            </w:tcBorders>
            <w:vAlign w:val="center"/>
          </w:tcPr>
          <w:p w14:paraId="73CFA6B7">
            <w:pPr>
              <w:jc w:val="center"/>
            </w:pPr>
          </w:p>
        </w:tc>
        <w:tc>
          <w:tcPr>
            <w:tcW w:w="2818" w:type="dxa"/>
            <w:tcBorders>
              <w:top w:val="single" w:color="auto" w:sz="18" w:space="0"/>
            </w:tcBorders>
            <w:vAlign w:val="center"/>
          </w:tcPr>
          <w:p w14:paraId="10A8BCA4">
            <w:pPr>
              <w:jc w:val="center"/>
            </w:pPr>
          </w:p>
        </w:tc>
        <w:tc>
          <w:tcPr>
            <w:tcW w:w="2819" w:type="dxa"/>
            <w:tcBorders>
              <w:top w:val="single" w:color="auto" w:sz="18" w:space="0"/>
              <w:right w:val="single" w:color="auto" w:sz="18" w:space="0"/>
            </w:tcBorders>
            <w:vAlign w:val="center"/>
          </w:tcPr>
          <w:p w14:paraId="37045A17">
            <w:pPr>
              <w:jc w:val="center"/>
            </w:pPr>
          </w:p>
        </w:tc>
      </w:tr>
      <w:tr w14:paraId="43544B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tcBorders>
            <w:vAlign w:val="center"/>
          </w:tcPr>
          <w:p w14:paraId="5F2988E5">
            <w:pPr>
              <w:jc w:val="center"/>
              <w:rPr>
                <w:b/>
              </w:rPr>
            </w:pPr>
          </w:p>
        </w:tc>
        <w:tc>
          <w:tcPr>
            <w:tcW w:w="1134" w:type="dxa"/>
            <w:vAlign w:val="center"/>
          </w:tcPr>
          <w:p w14:paraId="32622642">
            <w:pPr>
              <w:jc w:val="center"/>
            </w:pPr>
            <w:r>
              <w:rPr>
                <w:rFonts w:hint="eastAsia"/>
              </w:rPr>
              <w:t>熟练</w:t>
            </w:r>
          </w:p>
        </w:tc>
        <w:tc>
          <w:tcPr>
            <w:tcW w:w="2818" w:type="dxa"/>
            <w:vAlign w:val="center"/>
          </w:tcPr>
          <w:p w14:paraId="0133B2EA">
            <w:pPr>
              <w:jc w:val="center"/>
            </w:pPr>
          </w:p>
        </w:tc>
        <w:tc>
          <w:tcPr>
            <w:tcW w:w="2818" w:type="dxa"/>
            <w:vAlign w:val="center"/>
          </w:tcPr>
          <w:p w14:paraId="442CBF4C">
            <w:pPr>
              <w:jc w:val="center"/>
            </w:pPr>
          </w:p>
        </w:tc>
        <w:tc>
          <w:tcPr>
            <w:tcW w:w="2818" w:type="dxa"/>
            <w:vAlign w:val="center"/>
          </w:tcPr>
          <w:p w14:paraId="7CD965C0">
            <w:pPr>
              <w:jc w:val="center"/>
            </w:pPr>
          </w:p>
        </w:tc>
        <w:tc>
          <w:tcPr>
            <w:tcW w:w="2819" w:type="dxa"/>
            <w:tcBorders>
              <w:right w:val="single" w:color="auto" w:sz="18" w:space="0"/>
            </w:tcBorders>
            <w:vAlign w:val="center"/>
          </w:tcPr>
          <w:p w14:paraId="684DE613">
            <w:pPr>
              <w:jc w:val="center"/>
            </w:pPr>
          </w:p>
        </w:tc>
      </w:tr>
      <w:tr w14:paraId="22E440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bottom w:val="single" w:color="auto" w:sz="18" w:space="0"/>
            </w:tcBorders>
            <w:vAlign w:val="center"/>
          </w:tcPr>
          <w:p w14:paraId="0344198D">
            <w:pPr>
              <w:jc w:val="center"/>
              <w:rPr>
                <w:b/>
              </w:rPr>
            </w:pPr>
          </w:p>
        </w:tc>
        <w:tc>
          <w:tcPr>
            <w:tcW w:w="1134" w:type="dxa"/>
            <w:tcBorders>
              <w:bottom w:val="single" w:color="auto" w:sz="18" w:space="0"/>
            </w:tcBorders>
            <w:vAlign w:val="center"/>
          </w:tcPr>
          <w:p w14:paraId="584C64C5">
            <w:pPr>
              <w:jc w:val="center"/>
            </w:pPr>
            <w:r>
              <w:rPr>
                <w:rFonts w:hint="eastAsia"/>
              </w:rPr>
              <w:t>一般</w:t>
            </w:r>
          </w:p>
        </w:tc>
        <w:tc>
          <w:tcPr>
            <w:tcW w:w="2818" w:type="dxa"/>
            <w:tcBorders>
              <w:bottom w:val="single" w:color="auto" w:sz="18" w:space="0"/>
            </w:tcBorders>
            <w:vAlign w:val="center"/>
          </w:tcPr>
          <w:p w14:paraId="78BC0DAA">
            <w:pPr>
              <w:jc w:val="center"/>
            </w:pPr>
          </w:p>
        </w:tc>
        <w:tc>
          <w:tcPr>
            <w:tcW w:w="2818" w:type="dxa"/>
            <w:tcBorders>
              <w:bottom w:val="single" w:color="auto" w:sz="18" w:space="0"/>
            </w:tcBorders>
            <w:vAlign w:val="center"/>
          </w:tcPr>
          <w:p w14:paraId="181EA5C7">
            <w:pPr>
              <w:jc w:val="center"/>
            </w:pPr>
          </w:p>
        </w:tc>
        <w:tc>
          <w:tcPr>
            <w:tcW w:w="2818" w:type="dxa"/>
            <w:tcBorders>
              <w:bottom w:val="single" w:color="auto" w:sz="18" w:space="0"/>
            </w:tcBorders>
            <w:vAlign w:val="center"/>
          </w:tcPr>
          <w:p w14:paraId="1602C1EF">
            <w:pPr>
              <w:jc w:val="center"/>
            </w:pPr>
          </w:p>
        </w:tc>
        <w:tc>
          <w:tcPr>
            <w:tcW w:w="2819" w:type="dxa"/>
            <w:tcBorders>
              <w:bottom w:val="single" w:color="auto" w:sz="18" w:space="0"/>
              <w:right w:val="single" w:color="auto" w:sz="18" w:space="0"/>
            </w:tcBorders>
            <w:vAlign w:val="center"/>
          </w:tcPr>
          <w:p w14:paraId="3AB9C3C6">
            <w:pPr>
              <w:jc w:val="center"/>
            </w:pPr>
          </w:p>
        </w:tc>
      </w:tr>
      <w:tr w14:paraId="490003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2671" w:type="dxa"/>
            <w:gridSpan w:val="2"/>
            <w:tcBorders>
              <w:top w:val="single" w:color="auto" w:sz="18" w:space="0"/>
              <w:left w:val="single" w:color="auto" w:sz="18" w:space="0"/>
            </w:tcBorders>
            <w:vAlign w:val="center"/>
          </w:tcPr>
          <w:p w14:paraId="29CB0A0F">
            <w:pPr>
              <w:jc w:val="center"/>
            </w:pPr>
            <w:r>
              <w:rPr>
                <w:rFonts w:hint="eastAsia"/>
                <w:b/>
              </w:rPr>
              <w:t>季度</w:t>
            </w:r>
            <w:r>
              <w:rPr>
                <w:b/>
              </w:rPr>
              <w:t>投诉次数</w:t>
            </w:r>
          </w:p>
        </w:tc>
        <w:tc>
          <w:tcPr>
            <w:tcW w:w="2818" w:type="dxa"/>
            <w:tcBorders>
              <w:top w:val="single" w:color="auto" w:sz="18" w:space="0"/>
            </w:tcBorders>
            <w:vAlign w:val="center"/>
          </w:tcPr>
          <w:p w14:paraId="1470F648">
            <w:pPr>
              <w:jc w:val="center"/>
            </w:pPr>
          </w:p>
        </w:tc>
        <w:tc>
          <w:tcPr>
            <w:tcW w:w="2818" w:type="dxa"/>
            <w:tcBorders>
              <w:top w:val="single" w:color="auto" w:sz="18" w:space="0"/>
            </w:tcBorders>
            <w:vAlign w:val="center"/>
          </w:tcPr>
          <w:p w14:paraId="391A5BCA">
            <w:pPr>
              <w:jc w:val="center"/>
            </w:pPr>
          </w:p>
        </w:tc>
        <w:tc>
          <w:tcPr>
            <w:tcW w:w="2818" w:type="dxa"/>
            <w:tcBorders>
              <w:top w:val="single" w:color="auto" w:sz="18" w:space="0"/>
            </w:tcBorders>
            <w:vAlign w:val="center"/>
          </w:tcPr>
          <w:p w14:paraId="4613E8D6">
            <w:pPr>
              <w:jc w:val="center"/>
            </w:pPr>
          </w:p>
        </w:tc>
        <w:tc>
          <w:tcPr>
            <w:tcW w:w="2819" w:type="dxa"/>
            <w:tcBorders>
              <w:top w:val="single" w:color="auto" w:sz="18" w:space="0"/>
              <w:right w:val="single" w:color="auto" w:sz="18" w:space="0"/>
            </w:tcBorders>
            <w:vAlign w:val="center"/>
          </w:tcPr>
          <w:p w14:paraId="25B795B3">
            <w:pPr>
              <w:jc w:val="center"/>
            </w:pPr>
          </w:p>
        </w:tc>
      </w:tr>
      <w:tr w14:paraId="154F0F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1537" w:type="dxa"/>
            <w:vMerge w:val="restart"/>
            <w:tcBorders>
              <w:top w:val="single" w:color="auto" w:sz="18" w:space="0"/>
              <w:left w:val="single" w:color="auto" w:sz="18" w:space="0"/>
            </w:tcBorders>
            <w:vAlign w:val="center"/>
          </w:tcPr>
          <w:p w14:paraId="6CBE9789">
            <w:pPr>
              <w:jc w:val="center"/>
              <w:rPr>
                <w:b/>
              </w:rPr>
            </w:pPr>
            <w:r>
              <w:rPr>
                <w:rFonts w:hint="eastAsia"/>
                <w:b/>
              </w:rPr>
              <w:t>综合</w:t>
            </w:r>
            <w:r>
              <w:rPr>
                <w:b/>
              </w:rPr>
              <w:t>评价</w:t>
            </w:r>
          </w:p>
        </w:tc>
        <w:tc>
          <w:tcPr>
            <w:tcW w:w="1134" w:type="dxa"/>
            <w:tcBorders>
              <w:top w:val="single" w:color="auto" w:sz="18" w:space="0"/>
            </w:tcBorders>
            <w:vAlign w:val="center"/>
          </w:tcPr>
          <w:p w14:paraId="24742834">
            <w:pPr>
              <w:jc w:val="center"/>
            </w:pPr>
            <w:r>
              <w:rPr>
                <w:rFonts w:hint="eastAsia"/>
              </w:rPr>
              <w:t>优秀</w:t>
            </w:r>
          </w:p>
        </w:tc>
        <w:tc>
          <w:tcPr>
            <w:tcW w:w="2818" w:type="dxa"/>
            <w:tcBorders>
              <w:top w:val="single" w:color="auto" w:sz="18" w:space="0"/>
            </w:tcBorders>
            <w:vAlign w:val="center"/>
          </w:tcPr>
          <w:p w14:paraId="72599BF6">
            <w:pPr>
              <w:jc w:val="center"/>
            </w:pPr>
          </w:p>
        </w:tc>
        <w:tc>
          <w:tcPr>
            <w:tcW w:w="2818" w:type="dxa"/>
            <w:tcBorders>
              <w:top w:val="single" w:color="auto" w:sz="18" w:space="0"/>
            </w:tcBorders>
            <w:vAlign w:val="center"/>
          </w:tcPr>
          <w:p w14:paraId="6874EB24">
            <w:pPr>
              <w:jc w:val="center"/>
            </w:pPr>
          </w:p>
        </w:tc>
        <w:tc>
          <w:tcPr>
            <w:tcW w:w="2818" w:type="dxa"/>
            <w:tcBorders>
              <w:top w:val="single" w:color="auto" w:sz="18" w:space="0"/>
            </w:tcBorders>
            <w:vAlign w:val="center"/>
          </w:tcPr>
          <w:p w14:paraId="64ED6A4C">
            <w:pPr>
              <w:jc w:val="center"/>
            </w:pPr>
          </w:p>
        </w:tc>
        <w:tc>
          <w:tcPr>
            <w:tcW w:w="2819" w:type="dxa"/>
            <w:tcBorders>
              <w:top w:val="single" w:color="auto" w:sz="18" w:space="0"/>
              <w:right w:val="single" w:color="auto" w:sz="18" w:space="0"/>
            </w:tcBorders>
            <w:vAlign w:val="center"/>
          </w:tcPr>
          <w:p w14:paraId="13664A98">
            <w:pPr>
              <w:jc w:val="center"/>
            </w:pPr>
          </w:p>
        </w:tc>
      </w:tr>
      <w:tr w14:paraId="7A44A4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6" w:hRule="atLeast"/>
        </w:trPr>
        <w:tc>
          <w:tcPr>
            <w:tcW w:w="1537" w:type="dxa"/>
            <w:vMerge w:val="continue"/>
            <w:tcBorders>
              <w:left w:val="single" w:color="auto" w:sz="18" w:space="0"/>
            </w:tcBorders>
            <w:vAlign w:val="center"/>
          </w:tcPr>
          <w:p w14:paraId="58C8522B">
            <w:pPr>
              <w:jc w:val="center"/>
              <w:rPr>
                <w:b/>
              </w:rPr>
            </w:pPr>
          </w:p>
        </w:tc>
        <w:tc>
          <w:tcPr>
            <w:tcW w:w="1134" w:type="dxa"/>
            <w:vAlign w:val="center"/>
          </w:tcPr>
          <w:p w14:paraId="3504F8C0">
            <w:pPr>
              <w:jc w:val="center"/>
            </w:pPr>
            <w:r>
              <w:rPr>
                <w:rFonts w:hint="eastAsia"/>
              </w:rPr>
              <w:t>良好</w:t>
            </w:r>
          </w:p>
        </w:tc>
        <w:tc>
          <w:tcPr>
            <w:tcW w:w="2818" w:type="dxa"/>
            <w:vAlign w:val="center"/>
          </w:tcPr>
          <w:p w14:paraId="6CF72928">
            <w:pPr>
              <w:jc w:val="center"/>
            </w:pPr>
          </w:p>
        </w:tc>
        <w:tc>
          <w:tcPr>
            <w:tcW w:w="2818" w:type="dxa"/>
            <w:vAlign w:val="center"/>
          </w:tcPr>
          <w:p w14:paraId="69A34155">
            <w:pPr>
              <w:jc w:val="center"/>
            </w:pPr>
          </w:p>
        </w:tc>
        <w:tc>
          <w:tcPr>
            <w:tcW w:w="2818" w:type="dxa"/>
            <w:vAlign w:val="center"/>
          </w:tcPr>
          <w:p w14:paraId="6622B503">
            <w:pPr>
              <w:jc w:val="center"/>
            </w:pPr>
          </w:p>
        </w:tc>
        <w:tc>
          <w:tcPr>
            <w:tcW w:w="2819" w:type="dxa"/>
            <w:tcBorders>
              <w:right w:val="single" w:color="auto" w:sz="18" w:space="0"/>
            </w:tcBorders>
            <w:vAlign w:val="center"/>
          </w:tcPr>
          <w:p w14:paraId="13E102D5">
            <w:pPr>
              <w:jc w:val="center"/>
            </w:pPr>
          </w:p>
        </w:tc>
      </w:tr>
      <w:tr w14:paraId="64422E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tcBorders>
            <w:vAlign w:val="center"/>
          </w:tcPr>
          <w:p w14:paraId="5741DCC9">
            <w:pPr>
              <w:jc w:val="center"/>
              <w:rPr>
                <w:b/>
              </w:rPr>
            </w:pPr>
          </w:p>
        </w:tc>
        <w:tc>
          <w:tcPr>
            <w:tcW w:w="1134" w:type="dxa"/>
            <w:vAlign w:val="center"/>
          </w:tcPr>
          <w:p w14:paraId="4D25870F">
            <w:pPr>
              <w:jc w:val="center"/>
            </w:pPr>
            <w:r>
              <w:rPr>
                <w:rFonts w:hint="eastAsia"/>
              </w:rPr>
              <w:t>一般</w:t>
            </w:r>
          </w:p>
        </w:tc>
        <w:tc>
          <w:tcPr>
            <w:tcW w:w="2818" w:type="dxa"/>
            <w:vAlign w:val="center"/>
          </w:tcPr>
          <w:p w14:paraId="23BBEBF0">
            <w:pPr>
              <w:jc w:val="center"/>
            </w:pPr>
          </w:p>
        </w:tc>
        <w:tc>
          <w:tcPr>
            <w:tcW w:w="2818" w:type="dxa"/>
            <w:vAlign w:val="center"/>
          </w:tcPr>
          <w:p w14:paraId="49FD28D5">
            <w:pPr>
              <w:jc w:val="center"/>
            </w:pPr>
          </w:p>
        </w:tc>
        <w:tc>
          <w:tcPr>
            <w:tcW w:w="2818" w:type="dxa"/>
            <w:vAlign w:val="center"/>
          </w:tcPr>
          <w:p w14:paraId="459B8D7A">
            <w:pPr>
              <w:jc w:val="center"/>
            </w:pPr>
          </w:p>
        </w:tc>
        <w:tc>
          <w:tcPr>
            <w:tcW w:w="2819" w:type="dxa"/>
            <w:tcBorders>
              <w:right w:val="single" w:color="auto" w:sz="18" w:space="0"/>
            </w:tcBorders>
            <w:vAlign w:val="center"/>
          </w:tcPr>
          <w:p w14:paraId="1969ADFB">
            <w:pPr>
              <w:jc w:val="center"/>
            </w:pPr>
          </w:p>
        </w:tc>
      </w:tr>
      <w:tr w14:paraId="13CDB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537" w:type="dxa"/>
            <w:vMerge w:val="continue"/>
            <w:tcBorders>
              <w:left w:val="single" w:color="auto" w:sz="18" w:space="0"/>
              <w:bottom w:val="single" w:color="auto" w:sz="18" w:space="0"/>
            </w:tcBorders>
            <w:vAlign w:val="center"/>
          </w:tcPr>
          <w:p w14:paraId="78890508">
            <w:pPr>
              <w:jc w:val="center"/>
              <w:rPr>
                <w:b/>
              </w:rPr>
            </w:pPr>
          </w:p>
        </w:tc>
        <w:tc>
          <w:tcPr>
            <w:tcW w:w="1134" w:type="dxa"/>
            <w:tcBorders>
              <w:bottom w:val="single" w:color="auto" w:sz="18" w:space="0"/>
            </w:tcBorders>
            <w:vAlign w:val="center"/>
          </w:tcPr>
          <w:p w14:paraId="37781A58">
            <w:pPr>
              <w:jc w:val="center"/>
            </w:pPr>
            <w:r>
              <w:rPr>
                <w:rFonts w:hint="eastAsia"/>
              </w:rPr>
              <w:t>差</w:t>
            </w:r>
          </w:p>
        </w:tc>
        <w:tc>
          <w:tcPr>
            <w:tcW w:w="2818" w:type="dxa"/>
            <w:tcBorders>
              <w:bottom w:val="single" w:color="auto" w:sz="18" w:space="0"/>
            </w:tcBorders>
            <w:vAlign w:val="center"/>
          </w:tcPr>
          <w:p w14:paraId="3A358F49">
            <w:pPr>
              <w:jc w:val="center"/>
            </w:pPr>
          </w:p>
        </w:tc>
        <w:tc>
          <w:tcPr>
            <w:tcW w:w="2818" w:type="dxa"/>
            <w:tcBorders>
              <w:bottom w:val="single" w:color="auto" w:sz="18" w:space="0"/>
            </w:tcBorders>
            <w:vAlign w:val="center"/>
          </w:tcPr>
          <w:p w14:paraId="497542C0">
            <w:pPr>
              <w:jc w:val="center"/>
            </w:pPr>
          </w:p>
        </w:tc>
        <w:tc>
          <w:tcPr>
            <w:tcW w:w="2818" w:type="dxa"/>
            <w:tcBorders>
              <w:bottom w:val="single" w:color="auto" w:sz="18" w:space="0"/>
            </w:tcBorders>
            <w:vAlign w:val="center"/>
          </w:tcPr>
          <w:p w14:paraId="37662A14">
            <w:pPr>
              <w:jc w:val="center"/>
            </w:pPr>
          </w:p>
        </w:tc>
        <w:tc>
          <w:tcPr>
            <w:tcW w:w="2819" w:type="dxa"/>
            <w:tcBorders>
              <w:bottom w:val="single" w:color="auto" w:sz="18" w:space="0"/>
              <w:right w:val="single" w:color="auto" w:sz="18" w:space="0"/>
            </w:tcBorders>
            <w:vAlign w:val="center"/>
          </w:tcPr>
          <w:p w14:paraId="1574B1C9">
            <w:pPr>
              <w:jc w:val="center"/>
            </w:pPr>
          </w:p>
        </w:tc>
      </w:tr>
      <w:tr w14:paraId="16314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12" w:hRule="atLeast"/>
        </w:trPr>
        <w:tc>
          <w:tcPr>
            <w:tcW w:w="2671" w:type="dxa"/>
            <w:gridSpan w:val="2"/>
            <w:tcBorders>
              <w:top w:val="single" w:color="auto" w:sz="18" w:space="0"/>
              <w:left w:val="single" w:color="auto" w:sz="18" w:space="0"/>
              <w:bottom w:val="single" w:color="auto" w:sz="18" w:space="0"/>
            </w:tcBorders>
            <w:vAlign w:val="center"/>
          </w:tcPr>
          <w:p w14:paraId="58C01620">
            <w:pPr>
              <w:jc w:val="center"/>
            </w:pPr>
            <w:r>
              <w:rPr>
                <w:rFonts w:hint="eastAsia"/>
                <w:b/>
              </w:rPr>
              <w:t>评价</w:t>
            </w:r>
            <w:r>
              <w:rPr>
                <w:b/>
              </w:rPr>
              <w:t>人签字</w:t>
            </w:r>
          </w:p>
        </w:tc>
        <w:tc>
          <w:tcPr>
            <w:tcW w:w="2818" w:type="dxa"/>
            <w:tcBorders>
              <w:top w:val="single" w:color="auto" w:sz="18" w:space="0"/>
              <w:bottom w:val="single" w:color="auto" w:sz="18" w:space="0"/>
            </w:tcBorders>
            <w:vAlign w:val="bottom"/>
          </w:tcPr>
          <w:p w14:paraId="5A8D918E">
            <w:pPr>
              <w:wordWrap w:val="0"/>
              <w:jc w:val="right"/>
            </w:pPr>
            <w:r>
              <w:rPr>
                <w:rFonts w:hint="eastAsia"/>
              </w:rPr>
              <w:t xml:space="preserve">年  </w:t>
            </w:r>
            <w:r>
              <w:t xml:space="preserve">  月</w:t>
            </w:r>
            <w:r>
              <w:rPr>
                <w:rFonts w:hint="eastAsia"/>
              </w:rPr>
              <w:t xml:space="preserve">    </w:t>
            </w:r>
            <w:r>
              <w:t>日</w:t>
            </w:r>
          </w:p>
        </w:tc>
        <w:tc>
          <w:tcPr>
            <w:tcW w:w="2818" w:type="dxa"/>
            <w:tcBorders>
              <w:top w:val="single" w:color="auto" w:sz="18" w:space="0"/>
              <w:bottom w:val="single" w:color="auto" w:sz="18" w:space="0"/>
            </w:tcBorders>
            <w:vAlign w:val="bottom"/>
          </w:tcPr>
          <w:p w14:paraId="0F82624D">
            <w:pPr>
              <w:jc w:val="right"/>
            </w:pPr>
            <w:r>
              <w:rPr>
                <w:rFonts w:hint="eastAsia"/>
              </w:rPr>
              <w:t xml:space="preserve">年  </w:t>
            </w:r>
            <w:r>
              <w:t xml:space="preserve">  月</w:t>
            </w:r>
            <w:r>
              <w:rPr>
                <w:rFonts w:hint="eastAsia"/>
              </w:rPr>
              <w:t xml:space="preserve">    </w:t>
            </w:r>
            <w:r>
              <w:t>日</w:t>
            </w:r>
          </w:p>
        </w:tc>
        <w:tc>
          <w:tcPr>
            <w:tcW w:w="2818" w:type="dxa"/>
            <w:tcBorders>
              <w:top w:val="single" w:color="auto" w:sz="18" w:space="0"/>
              <w:bottom w:val="single" w:color="auto" w:sz="18" w:space="0"/>
            </w:tcBorders>
            <w:vAlign w:val="bottom"/>
          </w:tcPr>
          <w:p w14:paraId="46C19687">
            <w:pPr>
              <w:jc w:val="right"/>
            </w:pPr>
            <w:r>
              <w:rPr>
                <w:rFonts w:hint="eastAsia"/>
              </w:rPr>
              <w:t xml:space="preserve">年  </w:t>
            </w:r>
            <w:r>
              <w:t xml:space="preserve">  月</w:t>
            </w:r>
            <w:r>
              <w:rPr>
                <w:rFonts w:hint="eastAsia"/>
              </w:rPr>
              <w:t xml:space="preserve">    </w:t>
            </w:r>
            <w:r>
              <w:t>日</w:t>
            </w:r>
          </w:p>
        </w:tc>
        <w:tc>
          <w:tcPr>
            <w:tcW w:w="2819" w:type="dxa"/>
            <w:tcBorders>
              <w:top w:val="single" w:color="auto" w:sz="18" w:space="0"/>
              <w:bottom w:val="single" w:color="auto" w:sz="18" w:space="0"/>
              <w:right w:val="single" w:color="auto" w:sz="18" w:space="0"/>
            </w:tcBorders>
            <w:vAlign w:val="bottom"/>
          </w:tcPr>
          <w:p w14:paraId="632C10A8">
            <w:pPr>
              <w:jc w:val="right"/>
            </w:pPr>
            <w:r>
              <w:rPr>
                <w:rFonts w:hint="eastAsia"/>
              </w:rPr>
              <w:t xml:space="preserve">年  </w:t>
            </w:r>
            <w:r>
              <w:t xml:space="preserve">  月</w:t>
            </w:r>
            <w:r>
              <w:rPr>
                <w:rFonts w:hint="eastAsia"/>
              </w:rPr>
              <w:t xml:space="preserve">    </w:t>
            </w:r>
            <w:r>
              <w:t>日</w:t>
            </w:r>
          </w:p>
        </w:tc>
      </w:tr>
      <w:tr w14:paraId="7C4596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2671" w:type="dxa"/>
            <w:gridSpan w:val="2"/>
            <w:tcBorders>
              <w:top w:val="single" w:color="auto" w:sz="18" w:space="0"/>
              <w:left w:val="single" w:color="auto" w:sz="18" w:space="0"/>
              <w:bottom w:val="single" w:color="auto" w:sz="18" w:space="0"/>
            </w:tcBorders>
            <w:vAlign w:val="center"/>
          </w:tcPr>
          <w:p w14:paraId="4470F588">
            <w:pPr>
              <w:jc w:val="center"/>
            </w:pPr>
            <w:r>
              <w:rPr>
                <w:rFonts w:hint="eastAsia"/>
                <w:b/>
              </w:rPr>
              <w:t>意见</w:t>
            </w:r>
            <w:r>
              <w:rPr>
                <w:b/>
              </w:rPr>
              <w:t>建议</w:t>
            </w:r>
          </w:p>
        </w:tc>
        <w:tc>
          <w:tcPr>
            <w:tcW w:w="2818" w:type="dxa"/>
            <w:tcBorders>
              <w:top w:val="single" w:color="auto" w:sz="18" w:space="0"/>
              <w:bottom w:val="single" w:color="auto" w:sz="18" w:space="0"/>
            </w:tcBorders>
            <w:vAlign w:val="center"/>
          </w:tcPr>
          <w:p w14:paraId="70D1475D">
            <w:pPr>
              <w:jc w:val="center"/>
            </w:pPr>
          </w:p>
        </w:tc>
        <w:tc>
          <w:tcPr>
            <w:tcW w:w="2818" w:type="dxa"/>
            <w:tcBorders>
              <w:top w:val="single" w:color="auto" w:sz="18" w:space="0"/>
              <w:bottom w:val="single" w:color="auto" w:sz="18" w:space="0"/>
            </w:tcBorders>
            <w:vAlign w:val="center"/>
          </w:tcPr>
          <w:p w14:paraId="0349CB07">
            <w:pPr>
              <w:jc w:val="center"/>
            </w:pPr>
          </w:p>
        </w:tc>
        <w:tc>
          <w:tcPr>
            <w:tcW w:w="2818" w:type="dxa"/>
            <w:tcBorders>
              <w:top w:val="single" w:color="auto" w:sz="18" w:space="0"/>
              <w:bottom w:val="single" w:color="auto" w:sz="18" w:space="0"/>
            </w:tcBorders>
            <w:vAlign w:val="center"/>
          </w:tcPr>
          <w:p w14:paraId="56B2C228">
            <w:pPr>
              <w:jc w:val="center"/>
            </w:pPr>
          </w:p>
        </w:tc>
        <w:tc>
          <w:tcPr>
            <w:tcW w:w="2819" w:type="dxa"/>
            <w:tcBorders>
              <w:top w:val="single" w:color="auto" w:sz="18" w:space="0"/>
              <w:bottom w:val="single" w:color="auto" w:sz="18" w:space="0"/>
              <w:right w:val="single" w:color="auto" w:sz="18" w:space="0"/>
            </w:tcBorders>
            <w:vAlign w:val="center"/>
          </w:tcPr>
          <w:p w14:paraId="1ADBBAF0">
            <w:pPr>
              <w:jc w:val="center"/>
            </w:pPr>
          </w:p>
        </w:tc>
      </w:tr>
    </w:tbl>
    <w:p w14:paraId="2458D691"/>
    <w:p w14:paraId="57811F6B"/>
    <w:sectPr>
      <w:footerReference r:id="rId3" w:type="default"/>
      <w:pgSz w:w="16838" w:h="11906" w:orient="landscape"/>
      <w:pgMar w:top="1701" w:right="1418" w:bottom="1701" w:left="1418" w:header="851" w:footer="992" w:gutter="0"/>
      <w:pgNumType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WPSEMBED1">
    <w:panose1 w:val="02000000000000000000"/>
    <w:charset w:val="86"/>
    <w:family w:val="auto"/>
    <w:pitch w:val="default"/>
    <w:sig w:usb0="00000001" w:usb1="08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仿宋简体">
    <w:altName w:val="微软雅黑"/>
    <w:panose1 w:val="00000000000000000000"/>
    <w:charset w:val="00"/>
    <w:family w:val="auto"/>
    <w:pitch w:val="default"/>
    <w:sig w:usb0="00000000" w:usb1="00000000" w:usb2="00000000" w:usb3="00000000" w:csb0="00000000" w:csb1="00000000"/>
  </w:font>
  <w:font w:name="FangSong_GB2312">
    <w:altName w:val="仿宋"/>
    <w:panose1 w:val="02010609060101010101"/>
    <w:charset w:val="86"/>
    <w:family w:val="modern"/>
    <w:pitch w:val="default"/>
    <w:sig w:usb0="00000000" w:usb1="00000000" w:usb2="00000016" w:usb3="00000000" w:csb0="00040001" w:csb1="00000000"/>
  </w:font>
  <w:font w:name="KSOF8BCA4F43">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5B4C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380F1">
                          <w:pPr>
                            <w:pStyle w:val="1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12</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A0380F1">
                    <w:pPr>
                      <w:pStyle w:val="1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12</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B133A"/>
    <w:multiLevelType w:val="multilevel"/>
    <w:tmpl w:val="646B133A"/>
    <w:lvl w:ilvl="0" w:tentative="0">
      <w:start w:val="1"/>
      <w:numFmt w:val="chineseCounting"/>
      <w:suff w:val="nothing"/>
      <w:lvlText w:val="第%1部分 "/>
      <w:lvlJc w:val="left"/>
      <w:pPr>
        <w:tabs>
          <w:tab w:val="left" w:pos="0"/>
        </w:tabs>
        <w:ind w:left="432" w:hanging="432"/>
      </w:pPr>
      <w:rPr>
        <w:rFonts w:hint="eastAsia" w:ascii="宋体" w:hAnsi="宋体" w:eastAsia="宋体" w:cs="宋体"/>
      </w:rPr>
    </w:lvl>
    <w:lvl w:ilvl="1" w:tentative="0">
      <w:start w:val="1"/>
      <w:numFmt w:val="decimal"/>
      <w:pStyle w:val="2"/>
      <w:isLgl/>
      <w:lvlText w:val="%1.%2."/>
      <w:lvlJc w:val="left"/>
      <w:pPr>
        <w:tabs>
          <w:tab w:val="left" w:pos="420"/>
        </w:tabs>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ZTRhYWYzMzlkNWJjMDZmOWE2MDk2MmQ0M2IyM2EifQ=="/>
  </w:docVars>
  <w:rsids>
    <w:rsidRoot w:val="004B3CDC"/>
    <w:rsid w:val="000501CC"/>
    <w:rsid w:val="0023130A"/>
    <w:rsid w:val="002D20B8"/>
    <w:rsid w:val="004B3CDC"/>
    <w:rsid w:val="005166FA"/>
    <w:rsid w:val="00620183"/>
    <w:rsid w:val="00620839"/>
    <w:rsid w:val="00822DC2"/>
    <w:rsid w:val="00941B5B"/>
    <w:rsid w:val="00A64ACD"/>
    <w:rsid w:val="00B5427B"/>
    <w:rsid w:val="00FD05FC"/>
    <w:rsid w:val="01CE3408"/>
    <w:rsid w:val="02056D00"/>
    <w:rsid w:val="0359483D"/>
    <w:rsid w:val="04603FC1"/>
    <w:rsid w:val="05D7022B"/>
    <w:rsid w:val="06394017"/>
    <w:rsid w:val="07C338E5"/>
    <w:rsid w:val="086D2984"/>
    <w:rsid w:val="08992A2D"/>
    <w:rsid w:val="09CB7316"/>
    <w:rsid w:val="0AB43A7B"/>
    <w:rsid w:val="0C232602"/>
    <w:rsid w:val="0CB754DF"/>
    <w:rsid w:val="0DB04D50"/>
    <w:rsid w:val="0DBB2514"/>
    <w:rsid w:val="0E0F3E3B"/>
    <w:rsid w:val="0E596169"/>
    <w:rsid w:val="0F1656BE"/>
    <w:rsid w:val="0F9C4A16"/>
    <w:rsid w:val="0FB767C8"/>
    <w:rsid w:val="11D435FE"/>
    <w:rsid w:val="12295FD7"/>
    <w:rsid w:val="12F43E5D"/>
    <w:rsid w:val="13497D5A"/>
    <w:rsid w:val="14067A2F"/>
    <w:rsid w:val="157E75CB"/>
    <w:rsid w:val="158247E6"/>
    <w:rsid w:val="15B45D8D"/>
    <w:rsid w:val="15C10170"/>
    <w:rsid w:val="15C664AD"/>
    <w:rsid w:val="15F27940"/>
    <w:rsid w:val="16064F72"/>
    <w:rsid w:val="16CD1235"/>
    <w:rsid w:val="17610ABD"/>
    <w:rsid w:val="184B077E"/>
    <w:rsid w:val="187D2982"/>
    <w:rsid w:val="19ED2316"/>
    <w:rsid w:val="1ABB3266"/>
    <w:rsid w:val="1B881432"/>
    <w:rsid w:val="1C3A02A1"/>
    <w:rsid w:val="1C7A44AA"/>
    <w:rsid w:val="1D476E73"/>
    <w:rsid w:val="1D806ED0"/>
    <w:rsid w:val="1F6C7F2B"/>
    <w:rsid w:val="1FA97B27"/>
    <w:rsid w:val="204E5A55"/>
    <w:rsid w:val="2104367F"/>
    <w:rsid w:val="211728D1"/>
    <w:rsid w:val="2264726C"/>
    <w:rsid w:val="22B42ACF"/>
    <w:rsid w:val="232F0A73"/>
    <w:rsid w:val="23E12600"/>
    <w:rsid w:val="266C057B"/>
    <w:rsid w:val="26FD42C6"/>
    <w:rsid w:val="28FE2577"/>
    <w:rsid w:val="29351265"/>
    <w:rsid w:val="2A3024B8"/>
    <w:rsid w:val="2A903AC6"/>
    <w:rsid w:val="2B3633C9"/>
    <w:rsid w:val="2B4D4D83"/>
    <w:rsid w:val="2C7C3E86"/>
    <w:rsid w:val="2D1558E1"/>
    <w:rsid w:val="301860F7"/>
    <w:rsid w:val="304C02DA"/>
    <w:rsid w:val="30A148D3"/>
    <w:rsid w:val="30E42DF1"/>
    <w:rsid w:val="31535609"/>
    <w:rsid w:val="32B6054D"/>
    <w:rsid w:val="34ED7E8C"/>
    <w:rsid w:val="36F34F8B"/>
    <w:rsid w:val="375D26AB"/>
    <w:rsid w:val="381330AE"/>
    <w:rsid w:val="397D0DF5"/>
    <w:rsid w:val="39A01F87"/>
    <w:rsid w:val="3AE1777F"/>
    <w:rsid w:val="3AF9494C"/>
    <w:rsid w:val="3D051E2A"/>
    <w:rsid w:val="3D0B4136"/>
    <w:rsid w:val="3D8C6A13"/>
    <w:rsid w:val="3D9478D2"/>
    <w:rsid w:val="3E3259D0"/>
    <w:rsid w:val="3EC54DC5"/>
    <w:rsid w:val="3F7725C0"/>
    <w:rsid w:val="3FBB1133"/>
    <w:rsid w:val="40BF3D09"/>
    <w:rsid w:val="40D10D39"/>
    <w:rsid w:val="41274C51"/>
    <w:rsid w:val="42766926"/>
    <w:rsid w:val="42CA4178"/>
    <w:rsid w:val="434F5A51"/>
    <w:rsid w:val="436A63E7"/>
    <w:rsid w:val="437A3857"/>
    <w:rsid w:val="438C2053"/>
    <w:rsid w:val="4534213B"/>
    <w:rsid w:val="45841FCF"/>
    <w:rsid w:val="45854277"/>
    <w:rsid w:val="46761E5A"/>
    <w:rsid w:val="46953E87"/>
    <w:rsid w:val="48196F4D"/>
    <w:rsid w:val="48390A17"/>
    <w:rsid w:val="49402A49"/>
    <w:rsid w:val="497E5A1C"/>
    <w:rsid w:val="498E0956"/>
    <w:rsid w:val="49BB5C2C"/>
    <w:rsid w:val="4A56032E"/>
    <w:rsid w:val="4A684D44"/>
    <w:rsid w:val="4B977F95"/>
    <w:rsid w:val="4C2825C8"/>
    <w:rsid w:val="4D2F41FE"/>
    <w:rsid w:val="4D3434E4"/>
    <w:rsid w:val="4DAF5C58"/>
    <w:rsid w:val="4E8A0B4B"/>
    <w:rsid w:val="4F512177"/>
    <w:rsid w:val="4F7423AB"/>
    <w:rsid w:val="50CC764C"/>
    <w:rsid w:val="50F3372B"/>
    <w:rsid w:val="52D46C3C"/>
    <w:rsid w:val="53013264"/>
    <w:rsid w:val="54B9762A"/>
    <w:rsid w:val="55131533"/>
    <w:rsid w:val="55642F34"/>
    <w:rsid w:val="56192D88"/>
    <w:rsid w:val="5697709C"/>
    <w:rsid w:val="57142DBE"/>
    <w:rsid w:val="574801A4"/>
    <w:rsid w:val="575A1E6A"/>
    <w:rsid w:val="588F1D8A"/>
    <w:rsid w:val="58A2763E"/>
    <w:rsid w:val="5A4074EE"/>
    <w:rsid w:val="5AA61FA3"/>
    <w:rsid w:val="5B061451"/>
    <w:rsid w:val="5B400DAD"/>
    <w:rsid w:val="5B676B3B"/>
    <w:rsid w:val="5BBA388D"/>
    <w:rsid w:val="5C081447"/>
    <w:rsid w:val="5CF529BE"/>
    <w:rsid w:val="5EF51958"/>
    <w:rsid w:val="5FE175D9"/>
    <w:rsid w:val="61464175"/>
    <w:rsid w:val="61D238A7"/>
    <w:rsid w:val="61F05A3E"/>
    <w:rsid w:val="62854B94"/>
    <w:rsid w:val="62B83576"/>
    <w:rsid w:val="62C239EE"/>
    <w:rsid w:val="63436914"/>
    <w:rsid w:val="651537C1"/>
    <w:rsid w:val="65D843CE"/>
    <w:rsid w:val="65EB7404"/>
    <w:rsid w:val="66B407D2"/>
    <w:rsid w:val="675F0B70"/>
    <w:rsid w:val="67F51D34"/>
    <w:rsid w:val="6855439B"/>
    <w:rsid w:val="687738A0"/>
    <w:rsid w:val="68776ED9"/>
    <w:rsid w:val="687D0E8F"/>
    <w:rsid w:val="69B5DB7B"/>
    <w:rsid w:val="69CF740E"/>
    <w:rsid w:val="6A2D6DBF"/>
    <w:rsid w:val="6A9604BB"/>
    <w:rsid w:val="6B0B19AE"/>
    <w:rsid w:val="6BCF312F"/>
    <w:rsid w:val="6D4102CC"/>
    <w:rsid w:val="6D6258CD"/>
    <w:rsid w:val="6DF15BD5"/>
    <w:rsid w:val="6E3819AC"/>
    <w:rsid w:val="6FE60457"/>
    <w:rsid w:val="703C0AB8"/>
    <w:rsid w:val="720733D2"/>
    <w:rsid w:val="733B7F01"/>
    <w:rsid w:val="73782B94"/>
    <w:rsid w:val="73D35AAC"/>
    <w:rsid w:val="745D6D46"/>
    <w:rsid w:val="74625542"/>
    <w:rsid w:val="74672C06"/>
    <w:rsid w:val="75334976"/>
    <w:rsid w:val="75A67631"/>
    <w:rsid w:val="76826FC2"/>
    <w:rsid w:val="78DD277A"/>
    <w:rsid w:val="79F01427"/>
    <w:rsid w:val="7A142F9B"/>
    <w:rsid w:val="7A21488A"/>
    <w:rsid w:val="7A23011A"/>
    <w:rsid w:val="7B003C65"/>
    <w:rsid w:val="7B18439F"/>
    <w:rsid w:val="7BDCC9F7"/>
    <w:rsid w:val="7BF01F59"/>
    <w:rsid w:val="7BF13DC5"/>
    <w:rsid w:val="7BFAB0EA"/>
    <w:rsid w:val="7C2E2D54"/>
    <w:rsid w:val="7C4D4A39"/>
    <w:rsid w:val="7CAA4E3A"/>
    <w:rsid w:val="7E846EA6"/>
    <w:rsid w:val="7F7031C7"/>
    <w:rsid w:val="8779203D"/>
    <w:rsid w:val="BEDEE14D"/>
    <w:rsid w:val="BF7F2DBC"/>
    <w:rsid w:val="CBFFECC6"/>
    <w:rsid w:val="ED49E29C"/>
    <w:rsid w:val="F8DFB415"/>
    <w:rsid w:val="FEBBA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36"/>
    </w:rPr>
  </w:style>
  <w:style w:type="paragraph" w:styleId="3">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next w:val="1"/>
    <w:semiHidden/>
    <w:unhideWhenUsed/>
    <w:qFormat/>
    <w:uiPriority w:val="99"/>
    <w:pPr>
      <w:spacing w:after="120"/>
    </w:pPr>
  </w:style>
  <w:style w:type="paragraph" w:styleId="7">
    <w:name w:val="Body Text Indent"/>
    <w:basedOn w:val="1"/>
    <w:qFormat/>
    <w:uiPriority w:val="99"/>
    <w:pPr>
      <w:ind w:left="420" w:leftChars="200"/>
    </w:pPr>
    <w:rPr>
      <w:rFonts w:ascii="Calibri" w:hAnsi="Calibri"/>
      <w:kern w:val="0"/>
      <w:sz w:val="20"/>
      <w:szCs w:val="20"/>
    </w:rPr>
  </w:style>
  <w:style w:type="paragraph" w:styleId="8">
    <w:name w:val="Plain Text"/>
    <w:basedOn w:val="1"/>
    <w:qFormat/>
    <w:uiPriority w:val="0"/>
    <w:rPr>
      <w:rFonts w:ascii="宋体" w:hAnsi="Courier New"/>
    </w:rPr>
  </w:style>
  <w:style w:type="paragraph" w:styleId="9">
    <w:name w:val="Body Text Indent 2"/>
    <w:basedOn w:val="1"/>
    <w:next w:val="1"/>
    <w:qFormat/>
    <w:uiPriority w:val="99"/>
    <w:rPr>
      <w:color w:val="000000"/>
      <w:sz w:val="24"/>
      <w:szCs w:val="24"/>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spacing w:before="100" w:beforeAutospacing="1" w:after="100" w:afterAutospacing="1"/>
    </w:pPr>
    <w:rPr>
      <w:sz w:val="24"/>
      <w:szCs w:val="24"/>
    </w:rPr>
  </w:style>
  <w:style w:type="paragraph" w:styleId="13">
    <w:name w:val="Body Text First Indent"/>
    <w:basedOn w:val="6"/>
    <w:unhideWhenUsed/>
    <w:qFormat/>
    <w:uiPriority w:val="99"/>
    <w:pPr>
      <w:ind w:firstLine="420" w:firstLineChars="100"/>
    </w:pPr>
    <w:rPr>
      <w:sz w:val="21"/>
      <w:szCs w:val="22"/>
    </w:rPr>
  </w:style>
  <w:style w:type="paragraph" w:styleId="14">
    <w:name w:val="Body Text First Indent 2"/>
    <w:basedOn w:val="7"/>
    <w:unhideWhenUsed/>
    <w:qFormat/>
    <w:uiPriority w:val="0"/>
    <w:pPr>
      <w:ind w:firstLine="420" w:firstLineChars="200"/>
    </w:pPr>
    <w:rPr>
      <w:szCs w:val="20"/>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0"/>
    <w:rPr>
      <w:sz w:val="21"/>
      <w:szCs w:val="21"/>
    </w:rPr>
  </w:style>
  <w:style w:type="paragraph" w:customStyle="1" w:styleId="19">
    <w:name w:val="正文（缩进 2 字符）"/>
    <w:basedOn w:val="1"/>
    <w:qFormat/>
    <w:uiPriority w:val="99"/>
    <w:pPr>
      <w:widowControl/>
      <w:spacing w:line="400" w:lineRule="exact"/>
      <w:ind w:firstLine="200" w:firstLineChars="200"/>
    </w:pPr>
    <w:rPr>
      <w:rFonts w:ascii="Calibri Light" w:hAnsi="Calibri Light" w:eastAsia="华文仿宋"/>
      <w:sz w:val="28"/>
      <w:szCs w:val="28"/>
    </w:rPr>
  </w:style>
  <w:style w:type="paragraph" w:customStyle="1" w:styleId="20">
    <w:name w:val="修订1"/>
    <w:hidden/>
    <w:semiHidden/>
    <w:qFormat/>
    <w:uiPriority w:val="99"/>
    <w:rPr>
      <w:rFonts w:ascii="Times New Roman" w:hAnsi="Times New Roman" w:eastAsia="方正仿宋简体" w:cs="Times New Roman"/>
      <w:kern w:val="2"/>
      <w:sz w:val="32"/>
      <w:lang w:val="en-US" w:eastAsia="zh-CN" w:bidi="ar-SA"/>
    </w:rPr>
  </w:style>
  <w:style w:type="character" w:customStyle="1" w:styleId="21">
    <w:name w:val="页眉 字符"/>
    <w:basedOn w:val="17"/>
    <w:link w:val="11"/>
    <w:qFormat/>
    <w:uiPriority w:val="0"/>
    <w:rPr>
      <w:rFonts w:ascii="Times New Roman" w:hAnsi="Times New Roman" w:eastAsia="方正仿宋简体" w:cs="Times New Roman"/>
      <w:kern w:val="2"/>
      <w:sz w:val="18"/>
      <w:szCs w:val="18"/>
    </w:rPr>
  </w:style>
  <w:style w:type="table" w:customStyle="1" w:styleId="22">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3">
    <w:name w:val="null3"/>
    <w:hidden/>
    <w:qFormat/>
    <w:uiPriority w:val="0"/>
    <w:rPr>
      <w:rFonts w:hint="eastAsia" w:asciiTheme="minorHAnsi" w:hAnsiTheme="minorHAnsi" w:eastAsiaTheme="minorEastAsia" w:cstheme="minorBidi"/>
      <w:lang w:val="en-US" w:eastAsia="zh-Hans"/>
    </w:rPr>
  </w:style>
  <w:style w:type="paragraph" w:styleId="24">
    <w:name w:val="List Paragraph"/>
    <w:basedOn w:val="1"/>
    <w:unhideWhenUsed/>
    <w:qFormat/>
    <w:uiPriority w:val="99"/>
    <w:pPr>
      <w:ind w:firstLine="420" w:firstLineChars="200"/>
    </w:pPr>
  </w:style>
  <w:style w:type="character" w:customStyle="1" w:styleId="25">
    <w:name w:val="NormalCharacter"/>
    <w:qFormat/>
    <w:uiPriority w:val="0"/>
    <w:rPr>
      <w:kern w:val="2"/>
      <w:sz w:val="21"/>
      <w:szCs w:val="22"/>
      <w:lang w:val="en-US" w:eastAsia="zh-CN" w:bidi="ar-SA"/>
    </w:rPr>
  </w:style>
  <w:style w:type="paragraph" w:customStyle="1" w:styleId="26">
    <w:name w:val="_正文段落"/>
    <w:basedOn w:val="1"/>
    <w:qFormat/>
    <w:uiPriority w:val="0"/>
    <w:pPr>
      <w:widowControl/>
      <w:spacing w:line="360" w:lineRule="auto"/>
      <w:ind w:firstLine="480" w:firstLineChars="200"/>
      <w:jc w:val="left"/>
    </w:pPr>
    <w:rPr>
      <w:rFonts w:ascii="宋体" w:hAnsi="宋体"/>
      <w:sz w:val="24"/>
      <w:szCs w:val="24"/>
    </w:rPr>
  </w:style>
  <w:style w:type="paragraph" w:customStyle="1" w:styleId="27">
    <w:name w:val="公文正文"/>
    <w:basedOn w:val="1"/>
    <w:qFormat/>
    <w:uiPriority w:val="0"/>
    <w:pPr>
      <w:ind w:firstLine="640" w:firstLineChars="200"/>
    </w:pPr>
    <w:rPr>
      <w:rFonts w:ascii="仿宋" w:hAnsi="仿宋" w:eastAsia="仿宋"/>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5072</Words>
  <Characters>5172</Characters>
  <Lines>48</Lines>
  <Paragraphs>13</Paragraphs>
  <TotalTime>0</TotalTime>
  <ScaleCrop>false</ScaleCrop>
  <LinksUpToDate>false</LinksUpToDate>
  <CharactersWithSpaces>5475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2022-10-27T17:39:00Z</dcterms:created>
  <dc:creator>ThinkPad</dc:creator>
  <cp:lastModifiedBy>卓佲</cp:lastModifiedBy>
  <dcterms:modified xsi:type="dcterms:W3CDTF">2026-03-06T06:59:48Z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67C5466A03534D62AACE42458FB82B61</vt:lpwstr>
  </property>
  <property fmtid="{D5CDD505-2E9C-101B-9397-08002B2CF9AE}" pid="4" name="KSOTemplateDocerSaveRecord">
    <vt:lpwstr>eyJoZGlkIjoiZGE3NGIyMjdiOTUyMzM5NDlmZDE3ZTcwNGFkOTdiYzAiLCJ1c2VySWQiOiIyMzUwOTcyMzUifQ==</vt:lpwstr>
  </property>
</Properties>
</file>