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版本号：【KRDL】K4-2508171-0220260309001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射频辉光放电光谱仪采购项目(二次)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【KRDL】K4-2508171-02</w:t>
      </w:r>
      <w:r>
        <w:br/>
      </w:r>
      <w:r>
        <w:br/>
      </w:r>
      <w:r>
        <w:br/>
      </w:r>
    </w:p>
    <w:p>
      <w:pPr>
        <w:pStyle w:val="null3"/>
        <w:jc w:val="center"/>
        <w:outlineLvl w:val="2"/>
      </w:pPr>
      <w:r>
        <w:rPr>
          <w:rFonts w:ascii="仿宋_GB2312" w:hAnsi="仿宋_GB2312" w:cs="仿宋_GB2312" w:eastAsia="仿宋_GB2312"/>
          <w:sz w:val="28"/>
          <w:b/>
        </w:rPr>
        <w:t>西安工程大学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西安工程大学</w:t>
      </w:r>
      <w:r>
        <w:rPr>
          <w:rFonts w:ascii="仿宋_GB2312" w:hAnsi="仿宋_GB2312" w:cs="仿宋_GB2312" w:eastAsia="仿宋_GB2312"/>
        </w:rPr>
        <w:t>委托，拟对</w:t>
      </w:r>
      <w:r>
        <w:rPr>
          <w:rFonts w:ascii="仿宋_GB2312" w:hAnsi="仿宋_GB2312" w:cs="仿宋_GB2312" w:eastAsia="仿宋_GB2312"/>
        </w:rPr>
        <w:t>射频辉光放电光谱仪采购项目(二次)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【KRDL】K4-2508171-02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射频辉光放电光谱仪采购项目(二次)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本项目拟采购1套射频辉光放电光谱仪，具体采购内容及要求详见招标文件。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1、主体资格：投标人为向招标人提供相关货物的法人或其他组织；</w:t>
      </w:r>
    </w:p>
    <w:p>
      <w:pPr>
        <w:pStyle w:val="null3"/>
      </w:pPr>
      <w:r>
        <w:rPr>
          <w:rFonts w:ascii="仿宋_GB2312" w:hAnsi="仿宋_GB2312" w:cs="仿宋_GB2312" w:eastAsia="仿宋_GB2312"/>
        </w:rPr>
        <w:t>2、信誉要求：截止至投标文件递交截止时间之前，投标人未被“信用中国”网站列入失信被执行人、重大税收违法失信主体名单，未被“中国政府采购网”网站列入政府采购严重违法失信行为记录名单；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3、投标授权代表：投标人应授权合法的人员参加本项目招标活动全过程；</w:t>
      </w:r>
    </w:p>
    <w:p>
      <w:pPr>
        <w:pStyle w:val="null3"/>
      </w:pPr>
      <w:r>
        <w:rPr>
          <w:rFonts w:ascii="仿宋_GB2312" w:hAnsi="仿宋_GB2312" w:cs="仿宋_GB2312" w:eastAsia="仿宋_GB2312"/>
        </w:rPr>
        <w:t>4、是否接受进口产品：本项目已做进口论证，接受进口产品的投标；投标人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pPr>
      <w:r>
        <w:rPr>
          <w:rFonts w:ascii="仿宋_GB2312" w:hAnsi="仿宋_GB2312" w:cs="仿宋_GB2312" w:eastAsia="仿宋_GB2312"/>
        </w:rPr>
        <w:t>5、是否面向中小企业采购：本项目不专门面向中小企业采购。</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西安工程大学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西安市碑林区金花南路19号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029-81369288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代光艳、姚瑶、刘如拉、贾亚妮、王昭、刘昆、张晨、王森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029-89581863、15229797656、17302920968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029-87611715、029-68936154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说明：（1）中标人成交后凭中标通知书向采购人缴纳合同金额的5%作为履约保证金； （2）履约保证金应使用人民币，可选择使用银行转账、支票、汇票、本票或者金融机构、担保机构出具的保函等非现金形式缴纳或提交； （3）采购人验收合格后，中标人提出书面申请，采购人将履约保证金（无息）退还中标人。</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代理服务费收费标准：参照国家计委颁发的《招标代理服务收费管理暂行办法》（计价格[2002]1980号）和国家发展改革委员会办公厅颁发的《关于招标代理服务收费有关问题的通知》（发改办价格[2003] 857号）的有关规定标准向采购代理机构一次付清代理服务费。备注：在对招标代理服务费或者投标保证金转账时需备注项目名称及采购包名称+招标代理服务费或投标保证金。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西安工程大学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西安工程大学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西安工程大学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联系人：刘如拉、代光艳</w:t>
      </w:r>
    </w:p>
    <w:p>
      <w:pPr>
        <w:pStyle w:val="null3"/>
      </w:pPr>
      <w:r>
        <w:rPr>
          <w:rFonts w:ascii="仿宋_GB2312" w:hAnsi="仿宋_GB2312" w:cs="仿宋_GB2312" w:eastAsia="仿宋_GB2312"/>
        </w:rPr>
        <w:t>联系电话：029-89581863、15229797656、17302920968</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本项目拟采购1套射频辉光放电光谱仪。</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3,000,000.00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射频辉光放电光谱仪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标的名称：射频辉光放电光谱仪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7"/>
              <w:gridCol w:w="295"/>
              <w:gridCol w:w="1229"/>
              <w:gridCol w:w="645"/>
              <w:gridCol w:w="187"/>
            </w:tblGrid>
            <w:tr>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产品名称</w:t>
                  </w:r>
                </w:p>
              </w:tc>
              <w:tc>
                <w:tcPr>
                  <w:tcW w:type="dxa" w:w="12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技术标准</w:t>
                  </w:r>
                </w:p>
              </w:tc>
              <w:tc>
                <w:tcPr>
                  <w:tcW w:type="dxa" w:w="6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配置要求</w:t>
                  </w:r>
                </w:p>
              </w:tc>
              <w:tc>
                <w:tcPr>
                  <w:tcW w:type="dxa" w:w="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射频辉光放电光谱仪</w:t>
                  </w:r>
                </w:p>
              </w:tc>
              <w:tc>
                <w:tcPr>
                  <w:tcW w:type="dxa" w:w="1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1.用于导体和非导体样品涂镀层的深度剖面分析。</w:t>
                  </w:r>
                </w:p>
                <w:p>
                  <w:pPr>
                    <w:pStyle w:val="null3"/>
                    <w:jc w:val="both"/>
                  </w:pPr>
                  <w:r>
                    <w:rPr>
                      <w:rFonts w:ascii="仿宋_GB2312" w:hAnsi="仿宋_GB2312" w:cs="仿宋_GB2312" w:eastAsia="仿宋_GB2312"/>
                      <w:sz w:val="24"/>
                      <w:color w:val="000000"/>
                    </w:rPr>
                    <w:t>★2.激发光源采用脉冲射频源，在穿插分析导电样品及非导电样品时，激发光源无需切换或更换任何电气或机械部件。</w:t>
                  </w:r>
                </w:p>
                <w:p>
                  <w:pPr>
                    <w:pStyle w:val="null3"/>
                    <w:jc w:val="both"/>
                  </w:pPr>
                  <w:r>
                    <w:rPr>
                      <w:rFonts w:ascii="仿宋_GB2312" w:hAnsi="仿宋_GB2312" w:cs="仿宋_GB2312" w:eastAsia="仿宋_GB2312"/>
                      <w:sz w:val="24"/>
                      <w:color w:val="000000"/>
                    </w:rPr>
                    <w:t>3.辉光放电源使用差速式真空系统。采用两个真空泵，真空泵配置油雾分离器。</w:t>
                  </w:r>
                </w:p>
                <w:p>
                  <w:pPr>
                    <w:pStyle w:val="null3"/>
                    <w:jc w:val="both"/>
                  </w:pPr>
                  <w:r>
                    <w:rPr>
                      <w:rFonts w:ascii="仿宋_GB2312" w:hAnsi="仿宋_GB2312" w:cs="仿宋_GB2312" w:eastAsia="仿宋_GB2312"/>
                      <w:sz w:val="24"/>
                      <w:color w:val="000000"/>
                    </w:rPr>
                    <w:t>4.样品尺寸范围：直径1.2</w:t>
                  </w:r>
                  <w:r>
                    <w:rPr>
                      <w:rFonts w:ascii="仿宋_GB2312" w:hAnsi="仿宋_GB2312" w:cs="仿宋_GB2312" w:eastAsia="仿宋_GB2312"/>
                      <w:sz w:val="21"/>
                    </w:rPr>
                    <w:t xml:space="preserve"> </w:t>
                  </w:r>
                  <w:r>
                    <w:rPr>
                      <w:rFonts w:ascii="仿宋_GB2312" w:hAnsi="仿宋_GB2312" w:cs="仿宋_GB2312" w:eastAsia="仿宋_GB2312"/>
                      <w:sz w:val="24"/>
                      <w:color w:val="000000"/>
                    </w:rPr>
                    <w:t>cm</w:t>
                  </w:r>
                  <w:r>
                    <w:rPr>
                      <w:rFonts w:ascii="仿宋_GB2312" w:hAnsi="仿宋_GB2312" w:cs="仿宋_GB2312" w:eastAsia="仿宋_GB2312"/>
                      <w:sz w:val="24"/>
                      <w:color w:val="000000"/>
                    </w:rPr>
                    <w:t>～</w:t>
                  </w:r>
                  <w:r>
                    <w:rPr>
                      <w:rFonts w:ascii="仿宋_GB2312" w:hAnsi="仿宋_GB2312" w:cs="仿宋_GB2312" w:eastAsia="仿宋_GB2312"/>
                      <w:sz w:val="24"/>
                      <w:color w:val="000000"/>
                    </w:rPr>
                    <w:t>30cm。</w:t>
                  </w:r>
                </w:p>
                <w:p>
                  <w:pPr>
                    <w:pStyle w:val="null3"/>
                    <w:jc w:val="both"/>
                  </w:pPr>
                  <w:r>
                    <w:rPr>
                      <w:rFonts w:ascii="仿宋_GB2312" w:hAnsi="仿宋_GB2312" w:cs="仿宋_GB2312" w:eastAsia="仿宋_GB2312"/>
                      <w:sz w:val="24"/>
                      <w:color w:val="000000"/>
                    </w:rPr>
                    <w:t>5.深度剖面分析</w:t>
                  </w:r>
                  <w:r>
                    <w:rPr>
                      <w:rFonts w:ascii="仿宋_GB2312" w:hAnsi="仿宋_GB2312" w:cs="仿宋_GB2312" w:eastAsia="仿宋_GB2312"/>
                      <w:sz w:val="24"/>
                      <w:color w:val="000000"/>
                    </w:rPr>
                    <w:t>范围：</w:t>
                  </w:r>
                  <w:r>
                    <w:rPr>
                      <w:rFonts w:ascii="仿宋_GB2312" w:hAnsi="仿宋_GB2312" w:cs="仿宋_GB2312" w:eastAsia="仿宋_GB2312"/>
                      <w:sz w:val="24"/>
                      <w:color w:val="000000"/>
                    </w:rPr>
                    <w:t>1 nm～</w:t>
                  </w:r>
                  <w:r>
                    <w:rPr>
                      <w:rFonts w:ascii="仿宋_GB2312" w:hAnsi="仿宋_GB2312" w:cs="仿宋_GB2312" w:eastAsia="仿宋_GB2312"/>
                      <w:sz w:val="24"/>
                      <w:color w:val="000000"/>
                    </w:rPr>
                    <w:t>150</w:t>
                  </w:r>
                  <w:r>
                    <w:rPr>
                      <w:rFonts w:ascii="仿宋_GB2312" w:hAnsi="仿宋_GB2312" w:cs="仿宋_GB2312" w:eastAsia="仿宋_GB2312"/>
                      <w:sz w:val="21"/>
                    </w:rPr>
                    <w:t xml:space="preserve"> </w:t>
                  </w:r>
                  <w:r>
                    <w:rPr>
                      <w:rFonts w:ascii="仿宋_GB2312" w:hAnsi="仿宋_GB2312" w:cs="仿宋_GB2312" w:eastAsia="仿宋_GB2312"/>
                      <w:sz w:val="24"/>
                      <w:color w:val="000000"/>
                    </w:rPr>
                    <w:t>μ</w:t>
                  </w:r>
                  <w:r>
                    <w:rPr>
                      <w:rFonts w:ascii="仿宋_GB2312" w:hAnsi="仿宋_GB2312" w:cs="仿宋_GB2312" w:eastAsia="仿宋_GB2312"/>
                      <w:sz w:val="24"/>
                      <w:color w:val="000000"/>
                    </w:rPr>
                    <w:t>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★6.高动态光电倍增管探测器，动态测量范围</w:t>
                  </w:r>
                  <w:r>
                    <w:rPr>
                      <w:rFonts w:ascii="仿宋_GB2312" w:hAnsi="仿宋_GB2312" w:cs="仿宋_GB2312" w:eastAsia="仿宋_GB2312"/>
                      <w:sz w:val="24"/>
                      <w:color w:val="000000"/>
                    </w:rPr>
                    <w:t>≥</w:t>
                  </w:r>
                  <w:r>
                    <w:rPr>
                      <w:rFonts w:ascii="仿宋_GB2312" w:hAnsi="仿宋_GB2312" w:cs="仿宋_GB2312" w:eastAsia="仿宋_GB2312"/>
                      <w:sz w:val="24"/>
                      <w:color w:val="000000"/>
                    </w:rPr>
                    <w:t>5×10</w:t>
                  </w:r>
                  <w:r>
                    <w:rPr>
                      <w:rFonts w:ascii="仿宋_GB2312" w:hAnsi="仿宋_GB2312" w:cs="仿宋_GB2312" w:eastAsia="仿宋_GB2312"/>
                      <w:sz w:val="24"/>
                      <w:color w:val="000000"/>
                      <w:vertAlign w:val="superscript"/>
                    </w:rPr>
                    <w:t>9</w:t>
                  </w:r>
                  <w:r>
                    <w:rPr>
                      <w:rFonts w:ascii="仿宋_GB2312" w:hAnsi="仿宋_GB2312" w:cs="仿宋_GB2312" w:eastAsia="仿宋_GB2312"/>
                      <w:sz w:val="24"/>
                      <w:color w:val="000000"/>
                    </w:rPr>
                    <w:t>。无需预设高压即可完成</w:t>
                  </w:r>
                  <w:r>
                    <w:rPr>
                      <w:rFonts w:ascii="仿宋_GB2312" w:hAnsi="仿宋_GB2312" w:cs="仿宋_GB2312" w:eastAsia="仿宋_GB2312"/>
                      <w:sz w:val="24"/>
                      <w:color w:val="000000"/>
                    </w:rPr>
                    <w:t>ppm到百分含量浓度测试，不会造成探测器信号饱和</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▲7.深度分辨率：≤1 nm。</w:t>
                  </w:r>
                </w:p>
                <w:p>
                  <w:pPr>
                    <w:pStyle w:val="null3"/>
                    <w:jc w:val="both"/>
                  </w:pPr>
                  <w:r>
                    <w:rPr>
                      <w:rFonts w:ascii="仿宋_GB2312" w:hAnsi="仿宋_GB2312" w:cs="仿宋_GB2312" w:eastAsia="仿宋_GB2312"/>
                      <w:sz w:val="24"/>
                      <w:color w:val="000000"/>
                    </w:rPr>
                    <w:t>▲8.光谱分辨率：≤25</w:t>
                  </w:r>
                  <w:r>
                    <w:rPr>
                      <w:rFonts w:ascii="仿宋_GB2312" w:hAnsi="仿宋_GB2312" w:cs="仿宋_GB2312" w:eastAsia="仿宋_GB2312"/>
                      <w:sz w:val="21"/>
                    </w:rPr>
                    <w:t xml:space="preserve"> </w:t>
                  </w:r>
                  <w:r>
                    <w:rPr>
                      <w:rFonts w:ascii="仿宋_GB2312" w:hAnsi="仿宋_GB2312" w:cs="仿宋_GB2312" w:eastAsia="仿宋_GB2312"/>
                      <w:sz w:val="24"/>
                      <w:color w:val="000000"/>
                    </w:rPr>
                    <w:t>pm。</w:t>
                  </w:r>
                </w:p>
                <w:p>
                  <w:pPr>
                    <w:pStyle w:val="null3"/>
                    <w:jc w:val="both"/>
                  </w:pPr>
                  <w:r>
                    <w:rPr>
                      <w:rFonts w:ascii="仿宋_GB2312" w:hAnsi="仿宋_GB2312" w:cs="仿宋_GB2312" w:eastAsia="仿宋_GB2312"/>
                      <w:sz w:val="24"/>
                      <w:color w:val="000000"/>
                    </w:rPr>
                    <w:t>9.光谱覆盖范围：120</w:t>
                  </w:r>
                  <w:r>
                    <w:rPr>
                      <w:rFonts w:ascii="仿宋_GB2312" w:hAnsi="仿宋_GB2312" w:cs="仿宋_GB2312" w:eastAsia="仿宋_GB2312"/>
                      <w:sz w:val="21"/>
                    </w:rPr>
                    <w:t xml:space="preserve"> </w:t>
                  </w:r>
                  <w:r>
                    <w:rPr>
                      <w:rFonts w:ascii="仿宋_GB2312" w:hAnsi="仿宋_GB2312" w:cs="仿宋_GB2312" w:eastAsia="仿宋_GB2312"/>
                      <w:sz w:val="24"/>
                      <w:color w:val="000000"/>
                    </w:rPr>
                    <w:t>nm</w:t>
                  </w:r>
                  <w:r>
                    <w:rPr>
                      <w:rFonts w:ascii="仿宋_GB2312" w:hAnsi="仿宋_GB2312" w:cs="仿宋_GB2312" w:eastAsia="仿宋_GB2312"/>
                      <w:sz w:val="24"/>
                      <w:color w:val="000000"/>
                    </w:rPr>
                    <w:t>～</w:t>
                  </w:r>
                  <w:r>
                    <w:rPr>
                      <w:rFonts w:ascii="仿宋_GB2312" w:hAnsi="仿宋_GB2312" w:cs="仿宋_GB2312" w:eastAsia="仿宋_GB2312"/>
                      <w:sz w:val="24"/>
                      <w:color w:val="000000"/>
                    </w:rPr>
                    <w:t>800 nm。</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10.主光栅能够覆盖真空紫外光和可见光范围(120</w:t>
                  </w:r>
                  <w:r>
                    <w:rPr>
                      <w:rFonts w:ascii="仿宋_GB2312" w:hAnsi="仿宋_GB2312" w:cs="仿宋_GB2312" w:eastAsia="仿宋_GB2312"/>
                      <w:sz w:val="21"/>
                    </w:rPr>
                    <w:t xml:space="preserve"> </w:t>
                  </w:r>
                  <w:r>
                    <w:rPr>
                      <w:rFonts w:ascii="仿宋_GB2312" w:hAnsi="仿宋_GB2312" w:cs="仿宋_GB2312" w:eastAsia="仿宋_GB2312"/>
                      <w:sz w:val="24"/>
                      <w:color w:val="000000"/>
                    </w:rPr>
                    <w:t>nm</w:t>
                  </w:r>
                  <w:r>
                    <w:rPr>
                      <w:rFonts w:ascii="仿宋_GB2312" w:hAnsi="仿宋_GB2312" w:cs="仿宋_GB2312" w:eastAsia="仿宋_GB2312"/>
                      <w:sz w:val="24"/>
                      <w:color w:val="000000"/>
                    </w:rPr>
                    <w:t>～</w:t>
                  </w:r>
                  <w:r>
                    <w:rPr>
                      <w:rFonts w:ascii="仿宋_GB2312" w:hAnsi="仿宋_GB2312" w:cs="仿宋_GB2312" w:eastAsia="仿宋_GB2312"/>
                      <w:sz w:val="24"/>
                      <w:color w:val="000000"/>
                    </w:rPr>
                    <w:t>620</w:t>
                  </w:r>
                  <w:r>
                    <w:rPr>
                      <w:rFonts w:ascii="仿宋_GB2312" w:hAnsi="仿宋_GB2312" w:cs="仿宋_GB2312" w:eastAsia="仿宋_GB2312"/>
                      <w:sz w:val="21"/>
                    </w:rPr>
                    <w:t xml:space="preserve"> </w:t>
                  </w:r>
                  <w:r>
                    <w:rPr>
                      <w:rFonts w:ascii="仿宋_GB2312" w:hAnsi="仿宋_GB2312" w:cs="仿宋_GB2312" w:eastAsia="仿宋_GB2312"/>
                      <w:sz w:val="24"/>
                      <w:color w:val="000000"/>
                    </w:rPr>
                    <w:t>nm)。加装620</w:t>
                  </w:r>
                  <w:r>
                    <w:rPr>
                      <w:rFonts w:ascii="仿宋_GB2312" w:hAnsi="仿宋_GB2312" w:cs="仿宋_GB2312" w:eastAsia="仿宋_GB2312"/>
                      <w:sz w:val="21"/>
                    </w:rPr>
                    <w:t xml:space="preserve"> </w:t>
                  </w:r>
                  <w:r>
                    <w:rPr>
                      <w:rFonts w:ascii="仿宋_GB2312" w:hAnsi="仿宋_GB2312" w:cs="仿宋_GB2312" w:eastAsia="仿宋_GB2312"/>
                      <w:sz w:val="24"/>
                      <w:color w:val="000000"/>
                    </w:rPr>
                    <w:t>nm</w:t>
                  </w:r>
                  <w:r>
                    <w:rPr>
                      <w:rFonts w:ascii="仿宋_GB2312" w:hAnsi="仿宋_GB2312" w:cs="仿宋_GB2312" w:eastAsia="仿宋_GB2312"/>
                      <w:sz w:val="24"/>
                      <w:color w:val="000000"/>
                    </w:rPr>
                    <w:t>～</w:t>
                  </w:r>
                  <w:r>
                    <w:rPr>
                      <w:rFonts w:ascii="仿宋_GB2312" w:hAnsi="仿宋_GB2312" w:cs="仿宋_GB2312" w:eastAsia="仿宋_GB2312"/>
                      <w:sz w:val="24"/>
                      <w:color w:val="000000"/>
                    </w:rPr>
                    <w:t>800</w:t>
                  </w:r>
                  <w:r>
                    <w:rPr>
                      <w:rFonts w:ascii="仿宋_GB2312" w:hAnsi="仿宋_GB2312" w:cs="仿宋_GB2312" w:eastAsia="仿宋_GB2312"/>
                      <w:sz w:val="21"/>
                    </w:rPr>
                    <w:t xml:space="preserve"> </w:t>
                  </w:r>
                  <w:r>
                    <w:rPr>
                      <w:rFonts w:ascii="仿宋_GB2312" w:hAnsi="仿宋_GB2312" w:cs="仿宋_GB2312" w:eastAsia="仿宋_GB2312"/>
                      <w:sz w:val="24"/>
                      <w:color w:val="000000"/>
                    </w:rPr>
                    <w:t>nm的平场多色仪。</w:t>
                  </w:r>
                </w:p>
                <w:p>
                  <w:pPr>
                    <w:pStyle w:val="null3"/>
                    <w:jc w:val="both"/>
                  </w:pPr>
                  <w:r>
                    <w:rPr>
                      <w:rFonts w:ascii="仿宋_GB2312" w:hAnsi="仿宋_GB2312" w:cs="仿宋_GB2312" w:eastAsia="仿宋_GB2312"/>
                      <w:sz w:val="24"/>
                      <w:color w:val="000000"/>
                    </w:rPr>
                    <w:t>11.至少配备下列30个元素的26个常规光学通道(包含Li、B、F、Na、Mg、Al、Si、P、S、Cl、Ti、V、Cr、Fe、Ni、Cu、Zn、Zr、Nb、Mo、Ag、Sn、Ta、W、Pt、Au元素)和4个真空紫外通道(H、N、O和C)。</w:t>
                  </w:r>
                </w:p>
                <w:p>
                  <w:pPr>
                    <w:pStyle w:val="null3"/>
                    <w:jc w:val="both"/>
                  </w:pPr>
                  <w:r>
                    <w:rPr>
                      <w:rFonts w:ascii="仿宋_GB2312" w:hAnsi="仿宋_GB2312" w:cs="仿宋_GB2312" w:eastAsia="仿宋_GB2312"/>
                      <w:sz w:val="24"/>
                      <w:color w:val="000000"/>
                    </w:rPr>
                    <w:t>★12.配置额外</w:t>
                  </w:r>
                  <w:r>
                    <w:rPr>
                      <w:rFonts w:ascii="仿宋_GB2312" w:hAnsi="仿宋_GB2312" w:cs="仿宋_GB2312" w:eastAsia="仿宋_GB2312"/>
                      <w:sz w:val="24"/>
                      <w:color w:val="000000"/>
                    </w:rPr>
                    <w:t>的</w:t>
                  </w:r>
                  <w:r>
                    <w:rPr>
                      <w:rFonts w:ascii="仿宋_GB2312" w:hAnsi="仿宋_GB2312" w:cs="仿宋_GB2312" w:eastAsia="仿宋_GB2312"/>
                      <w:sz w:val="24"/>
                      <w:color w:val="000000"/>
                    </w:rPr>
                    <w:t>单色仪</w:t>
                  </w:r>
                  <w:r>
                    <w:rPr>
                      <w:rFonts w:ascii="仿宋_GB2312" w:hAnsi="仿宋_GB2312" w:cs="仿宋_GB2312" w:eastAsia="仿宋_GB2312"/>
                      <w:sz w:val="24"/>
                      <w:color w:val="000000"/>
                    </w:rPr>
                    <w:t>，</w:t>
                  </w:r>
                  <w:r>
                    <w:rPr>
                      <w:rFonts w:ascii="仿宋_GB2312" w:hAnsi="仿宋_GB2312" w:cs="仿宋_GB2312" w:eastAsia="仿宋_GB2312"/>
                      <w:sz w:val="24"/>
                      <w:color w:val="000000"/>
                    </w:rPr>
                    <w:t>扫描范围覆盖</w:t>
                  </w:r>
                  <w:r>
                    <w:rPr>
                      <w:rFonts w:ascii="仿宋_GB2312" w:hAnsi="仿宋_GB2312" w:cs="仿宋_GB2312" w:eastAsia="仿宋_GB2312"/>
                      <w:sz w:val="24"/>
                      <w:color w:val="000000"/>
                    </w:rPr>
                    <w:t>160 nm</w:t>
                  </w:r>
                  <w:r>
                    <w:rPr>
                      <w:rFonts w:ascii="仿宋_GB2312" w:hAnsi="仿宋_GB2312" w:cs="仿宋_GB2312" w:eastAsia="仿宋_GB2312"/>
                      <w:sz w:val="24"/>
                      <w:color w:val="000000"/>
                    </w:rPr>
                    <w:t>～</w:t>
                  </w:r>
                  <w:r>
                    <w:rPr>
                      <w:rFonts w:ascii="仿宋_GB2312" w:hAnsi="仿宋_GB2312" w:cs="仿宋_GB2312" w:eastAsia="仿宋_GB2312"/>
                      <w:sz w:val="24"/>
                      <w:color w:val="000000"/>
                    </w:rPr>
                    <w:t>800</w:t>
                  </w:r>
                  <w:r>
                    <w:rPr>
                      <w:rFonts w:ascii="仿宋_GB2312" w:hAnsi="仿宋_GB2312" w:cs="仿宋_GB2312" w:eastAsia="仿宋_GB2312"/>
                      <w:sz w:val="21"/>
                    </w:rPr>
                    <w:t xml:space="preserve"> </w:t>
                  </w:r>
                  <w:r>
                    <w:rPr>
                      <w:rFonts w:ascii="仿宋_GB2312" w:hAnsi="仿宋_GB2312" w:cs="仿宋_GB2312" w:eastAsia="仿宋_GB2312"/>
                      <w:sz w:val="24"/>
                      <w:color w:val="000000"/>
                    </w:rPr>
                    <w:t>nm</w:t>
                  </w:r>
                  <w:r>
                    <w:rPr>
                      <w:rFonts w:ascii="仿宋_GB2312" w:hAnsi="仿宋_GB2312" w:cs="仿宋_GB2312" w:eastAsia="仿宋_GB2312"/>
                      <w:sz w:val="24"/>
                      <w:color w:val="000000"/>
                    </w:rPr>
                    <w:t>。</w:t>
                  </w:r>
                  <w:r>
                    <w:rPr>
                      <w:rFonts w:ascii="仿宋_GB2312" w:hAnsi="仿宋_GB2312" w:cs="仿宋_GB2312" w:eastAsia="仿宋_GB2312"/>
                      <w:sz w:val="24"/>
                      <w:color w:val="000000"/>
                    </w:rPr>
                    <w:t>采用直接光传输的光学系统。</w:t>
                  </w:r>
                </w:p>
                <w:p>
                  <w:pPr>
                    <w:pStyle w:val="null3"/>
                    <w:jc w:val="both"/>
                  </w:pPr>
                  <w:r>
                    <w:rPr>
                      <w:rFonts w:ascii="仿宋_GB2312" w:hAnsi="仿宋_GB2312" w:cs="仿宋_GB2312" w:eastAsia="仿宋_GB2312"/>
                      <w:sz w:val="24"/>
                      <w:color w:val="000000"/>
                    </w:rPr>
                    <w:t>★13.光谱仪采用气体吹扫模式，非抽真空系统。</w:t>
                  </w:r>
                </w:p>
                <w:p>
                  <w:pPr>
                    <w:pStyle w:val="null3"/>
                    <w:jc w:val="both"/>
                  </w:pPr>
                  <w:r>
                    <w:rPr>
                      <w:rFonts w:ascii="仿宋_GB2312" w:hAnsi="仿宋_GB2312" w:cs="仿宋_GB2312" w:eastAsia="仿宋_GB2312"/>
                      <w:sz w:val="24"/>
                      <w:color w:val="000000"/>
                    </w:rPr>
                    <w:t>14.分析软件功能全开放；提供相对溅射速率的数据库；能显示每一个样品的不同镀层及其成份的3D视图；能在深度剖面测量分析时，不停止激发光源的情况下，可以增加分析时间继续对样品做更深深度的测量</w:t>
                  </w:r>
                  <w:r>
                    <w:rPr>
                      <w:rFonts w:ascii="仿宋_GB2312" w:hAnsi="仿宋_GB2312" w:cs="仿宋_GB2312" w:eastAsia="仿宋_GB2312"/>
                      <w:sz w:val="24"/>
                      <w:color w:val="000000"/>
                    </w:rPr>
                    <w:t>；</w:t>
                  </w:r>
                  <w:r>
                    <w:rPr>
                      <w:rFonts w:ascii="仿宋_GB2312" w:hAnsi="仿宋_GB2312" w:cs="仿宋_GB2312" w:eastAsia="仿宋_GB2312"/>
                      <w:sz w:val="24"/>
                      <w:color w:val="000000"/>
                    </w:rPr>
                    <w:t>有内置的深度剖面定量分析计算方法。</w:t>
                  </w:r>
                </w:p>
                <w:p>
                  <w:pPr>
                    <w:pStyle w:val="null3"/>
                    <w:jc w:val="both"/>
                  </w:pPr>
                  <w:r>
                    <w:rPr>
                      <w:rFonts w:ascii="仿宋_GB2312" w:hAnsi="仿宋_GB2312" w:cs="仿宋_GB2312" w:eastAsia="仿宋_GB2312"/>
                      <w:sz w:val="24"/>
                      <w:color w:val="000000"/>
                    </w:rPr>
                    <w:t>▲15.仪器包括</w:t>
                  </w:r>
                  <w:r>
                    <w:rPr>
                      <w:rFonts w:ascii="仿宋_GB2312" w:hAnsi="仿宋_GB2312" w:cs="仿宋_GB2312" w:eastAsia="仿宋_GB2312"/>
                      <w:sz w:val="24"/>
                      <w:color w:val="000000"/>
                    </w:rPr>
                    <w:t>不少于</w:t>
                  </w:r>
                  <w:r>
                    <w:rPr>
                      <w:rFonts w:ascii="仿宋_GB2312" w:hAnsi="仿宋_GB2312" w:cs="仿宋_GB2312" w:eastAsia="仿宋_GB2312"/>
                      <w:sz w:val="24"/>
                      <w:color w:val="000000"/>
                    </w:rPr>
                    <w:t>1组直径为4</w:t>
                  </w:r>
                  <w:r>
                    <w:rPr>
                      <w:rFonts w:ascii="仿宋_GB2312" w:hAnsi="仿宋_GB2312" w:cs="仿宋_GB2312" w:eastAsia="仿宋_GB2312"/>
                      <w:sz w:val="21"/>
                    </w:rPr>
                    <w:t xml:space="preserve"> </w:t>
                  </w:r>
                  <w:r>
                    <w:rPr>
                      <w:rFonts w:ascii="仿宋_GB2312" w:hAnsi="仿宋_GB2312" w:cs="仿宋_GB2312" w:eastAsia="仿宋_GB2312"/>
                      <w:sz w:val="24"/>
                      <w:color w:val="000000"/>
                    </w:rPr>
                    <w:t>mm的标准电极组件、1组直径为2</w:t>
                  </w:r>
                  <w:r>
                    <w:rPr>
                      <w:rFonts w:ascii="仿宋_GB2312" w:hAnsi="仿宋_GB2312" w:cs="仿宋_GB2312" w:eastAsia="仿宋_GB2312"/>
                      <w:sz w:val="21"/>
                    </w:rPr>
                    <w:t xml:space="preserve"> </w:t>
                  </w:r>
                  <w:r>
                    <w:rPr>
                      <w:rFonts w:ascii="仿宋_GB2312" w:hAnsi="仿宋_GB2312" w:cs="仿宋_GB2312" w:eastAsia="仿宋_GB2312"/>
                      <w:sz w:val="24"/>
                      <w:color w:val="000000"/>
                    </w:rPr>
                    <w:t>mm的标准电极组件，并具备1</w:t>
                  </w:r>
                  <w:r>
                    <w:rPr>
                      <w:rFonts w:ascii="仿宋_GB2312" w:hAnsi="仿宋_GB2312" w:cs="仿宋_GB2312" w:eastAsia="仿宋_GB2312"/>
                      <w:sz w:val="21"/>
                    </w:rPr>
                    <w:t xml:space="preserve"> </w:t>
                  </w:r>
                  <w:r>
                    <w:rPr>
                      <w:rFonts w:ascii="仿宋_GB2312" w:hAnsi="仿宋_GB2312" w:cs="仿宋_GB2312" w:eastAsia="仿宋_GB2312"/>
                      <w:sz w:val="24"/>
                      <w:color w:val="000000"/>
                    </w:rPr>
                    <w:t>mm，7</w:t>
                  </w:r>
                  <w:r>
                    <w:rPr>
                      <w:rFonts w:ascii="仿宋_GB2312" w:hAnsi="仿宋_GB2312" w:cs="仿宋_GB2312" w:eastAsia="仿宋_GB2312"/>
                      <w:sz w:val="21"/>
                    </w:rPr>
                    <w:t xml:space="preserve"> </w:t>
                  </w:r>
                  <w:r>
                    <w:rPr>
                      <w:rFonts w:ascii="仿宋_GB2312" w:hAnsi="仿宋_GB2312" w:cs="仿宋_GB2312" w:eastAsia="仿宋_GB2312"/>
                      <w:sz w:val="24"/>
                      <w:color w:val="000000"/>
                    </w:rPr>
                    <w:t>mm，10</w:t>
                  </w:r>
                  <w:r>
                    <w:rPr>
                      <w:rFonts w:ascii="仿宋_GB2312" w:hAnsi="仿宋_GB2312" w:cs="仿宋_GB2312" w:eastAsia="仿宋_GB2312"/>
                      <w:sz w:val="21"/>
                    </w:rPr>
                    <w:t xml:space="preserve"> </w:t>
                  </w:r>
                  <w:r>
                    <w:rPr>
                      <w:rFonts w:ascii="仿宋_GB2312" w:hAnsi="仿宋_GB2312" w:cs="仿宋_GB2312" w:eastAsia="仿宋_GB2312"/>
                      <w:sz w:val="24"/>
                      <w:color w:val="000000"/>
                    </w:rPr>
                    <w:t>mm电极</w:t>
                  </w:r>
                  <w:r>
                    <w:rPr>
                      <w:rFonts w:ascii="仿宋_GB2312" w:hAnsi="仿宋_GB2312" w:cs="仿宋_GB2312" w:eastAsia="仿宋_GB2312"/>
                      <w:sz w:val="24"/>
                      <w:color w:val="000000"/>
                    </w:rPr>
                    <w:t>扩展能力</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▲16.配置</w:t>
                  </w:r>
                  <w:r>
                    <w:rPr>
                      <w:rFonts w:ascii="仿宋_GB2312" w:hAnsi="仿宋_GB2312" w:cs="仿宋_GB2312" w:eastAsia="仿宋_GB2312"/>
                      <w:sz w:val="24"/>
                      <w:color w:val="000000"/>
                    </w:rPr>
                    <w:t>标准</w:t>
                  </w:r>
                  <w:r>
                    <w:rPr>
                      <w:rFonts w:ascii="仿宋_GB2312" w:hAnsi="仿宋_GB2312" w:cs="仿宋_GB2312" w:eastAsia="仿宋_GB2312"/>
                      <w:sz w:val="24"/>
                      <w:color w:val="000000"/>
                    </w:rPr>
                    <w:t>基体分析工作曲线</w:t>
                  </w:r>
                  <w:r>
                    <w:rPr>
                      <w:rFonts w:ascii="仿宋_GB2312" w:hAnsi="仿宋_GB2312" w:cs="仿宋_GB2312" w:eastAsia="仿宋_GB2312"/>
                      <w:sz w:val="24"/>
                      <w:color w:val="000000"/>
                    </w:rPr>
                    <w:t>1条。</w:t>
                  </w:r>
                </w:p>
                <w:p>
                  <w:pPr>
                    <w:pStyle w:val="null3"/>
                    <w:jc w:val="both"/>
                  </w:pPr>
                  <w:r>
                    <w:rPr>
                      <w:rFonts w:ascii="仿宋_GB2312" w:hAnsi="仿宋_GB2312" w:cs="仿宋_GB2312" w:eastAsia="仿宋_GB2312"/>
                      <w:sz w:val="24"/>
                      <w:color w:val="000000"/>
                    </w:rPr>
                    <w:t>17.</w:t>
                  </w:r>
                  <w:r>
                    <w:rPr>
                      <w:rFonts w:ascii="仿宋_GB2312" w:hAnsi="仿宋_GB2312" w:cs="仿宋_GB2312" w:eastAsia="仿宋_GB2312"/>
                      <w:sz w:val="24"/>
                      <w:color w:val="000000"/>
                    </w:rPr>
                    <w:t>环境要求：湿度</w:t>
                  </w:r>
                  <w:r>
                    <w:rPr>
                      <w:rFonts w:ascii="仿宋_GB2312" w:hAnsi="仿宋_GB2312" w:cs="仿宋_GB2312" w:eastAsia="仿宋_GB2312"/>
                      <w:sz w:val="24"/>
                      <w:color w:val="000000"/>
                    </w:rPr>
                    <w:t>45</w:t>
                  </w:r>
                  <w:r>
                    <w:rPr>
                      <w:rFonts w:ascii="仿宋_GB2312" w:hAnsi="仿宋_GB2312" w:cs="仿宋_GB2312" w:eastAsia="仿宋_GB2312"/>
                      <w:sz w:val="21"/>
                    </w:rPr>
                    <w:t xml:space="preserve"> </w:t>
                  </w:r>
                  <w:r>
                    <w:rPr>
                      <w:rFonts w:ascii="仿宋_GB2312" w:hAnsi="仿宋_GB2312" w:cs="仿宋_GB2312" w:eastAsia="仿宋_GB2312"/>
                      <w:sz w:val="24"/>
                      <w:color w:val="000000"/>
                    </w:rPr>
                    <w:t>%-80</w:t>
                  </w:r>
                  <w:r>
                    <w:rPr>
                      <w:rFonts w:ascii="仿宋_GB2312" w:hAnsi="仿宋_GB2312" w:cs="仿宋_GB2312" w:eastAsia="仿宋_GB2312"/>
                      <w:sz w:val="21"/>
                    </w:rPr>
                    <w:t xml:space="preserve"> </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18.电压AC 220V。</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1.射频辉光放电光谱仪主机1套。</w:t>
                  </w:r>
                </w:p>
                <w:p>
                  <w:pPr>
                    <w:pStyle w:val="null3"/>
                    <w:jc w:val="both"/>
                  </w:pPr>
                  <w:r>
                    <w:rPr>
                      <w:rFonts w:ascii="仿宋_GB2312" w:hAnsi="仿宋_GB2312" w:cs="仿宋_GB2312" w:eastAsia="仿宋_GB2312"/>
                      <w:sz w:val="24"/>
                      <w:color w:val="000000"/>
                    </w:rPr>
                    <w:t>包含：</w:t>
                  </w:r>
                  <w:r>
                    <w:rPr>
                      <w:rFonts w:ascii="仿宋_GB2312" w:hAnsi="仿宋_GB2312" w:cs="仿宋_GB2312" w:eastAsia="仿宋_GB2312"/>
                      <w:sz w:val="24"/>
                      <w:color w:val="000000"/>
                    </w:rPr>
                    <w:t>30个元素通道、1个平场多色仪、1个单色仪；</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另配</w:t>
                  </w:r>
                  <w:r>
                    <w:rPr>
                      <w:rFonts w:ascii="仿宋_GB2312" w:hAnsi="仿宋_GB2312" w:cs="仿宋_GB2312" w:eastAsia="仿宋_GB2312"/>
                      <w:sz w:val="24"/>
                      <w:color w:val="000000"/>
                    </w:rPr>
                    <w:t>4mm铜阳极套装</w:t>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套。</w:t>
                  </w:r>
                  <w:r>
                    <w:rPr>
                      <w:rFonts w:ascii="仿宋_GB2312" w:hAnsi="仿宋_GB2312" w:cs="仿宋_GB2312" w:eastAsia="仿宋_GB2312"/>
                      <w:sz w:val="24"/>
                      <w:color w:val="000000"/>
                    </w:rPr>
                    <w:t>每套</w:t>
                  </w:r>
                  <w:r>
                    <w:rPr>
                      <w:rFonts w:ascii="仿宋_GB2312" w:hAnsi="仿宋_GB2312" w:cs="仿宋_GB2312" w:eastAsia="仿宋_GB2312"/>
                      <w:sz w:val="24"/>
                      <w:color w:val="000000"/>
                    </w:rPr>
                    <w:t>包含：</w:t>
                  </w:r>
                  <w:r>
                    <w:rPr>
                      <w:rFonts w:ascii="仿宋_GB2312" w:hAnsi="仿宋_GB2312" w:cs="仿宋_GB2312" w:eastAsia="仿宋_GB2312"/>
                      <w:sz w:val="24"/>
                      <w:color w:val="000000"/>
                    </w:rPr>
                    <w:t>≥</w:t>
                  </w:r>
                  <w:r>
                    <w:rPr>
                      <w:rFonts w:ascii="仿宋_GB2312" w:hAnsi="仿宋_GB2312" w:cs="仿宋_GB2312" w:eastAsia="仿宋_GB2312"/>
                      <w:sz w:val="24"/>
                      <w:color w:val="000000"/>
                    </w:rPr>
                    <w:t>2个铜阳极、</w:t>
                  </w:r>
                  <w:r>
                    <w:rPr>
                      <w:rFonts w:ascii="仿宋_GB2312" w:hAnsi="仿宋_GB2312" w:cs="仿宋_GB2312" w:eastAsia="仿宋_GB2312"/>
                      <w:sz w:val="24"/>
                      <w:color w:val="000000"/>
                    </w:rPr>
                    <w:t>≥</w:t>
                  </w:r>
                  <w:r>
                    <w:rPr>
                      <w:rFonts w:ascii="仿宋_GB2312" w:hAnsi="仿宋_GB2312" w:cs="仿宋_GB2312" w:eastAsia="仿宋_GB2312"/>
                      <w:sz w:val="24"/>
                      <w:color w:val="000000"/>
                    </w:rPr>
                    <w:t>1个陶瓷片、</w:t>
                  </w:r>
                  <w:r>
                    <w:rPr>
                      <w:rFonts w:ascii="仿宋_GB2312" w:hAnsi="仿宋_GB2312" w:cs="仿宋_GB2312" w:eastAsia="仿宋_GB2312"/>
                      <w:sz w:val="24"/>
                      <w:color w:val="000000"/>
                    </w:rPr>
                    <w:t>≥</w:t>
                  </w:r>
                  <w:r>
                    <w:rPr>
                      <w:rFonts w:ascii="仿宋_GB2312" w:hAnsi="仿宋_GB2312" w:cs="仿宋_GB2312" w:eastAsia="仿宋_GB2312"/>
                      <w:sz w:val="24"/>
                      <w:color w:val="000000"/>
                    </w:rPr>
                    <w:t>2个黑色O型圈、</w:t>
                  </w:r>
                  <w:r>
                    <w:rPr>
                      <w:rFonts w:ascii="仿宋_GB2312" w:hAnsi="仿宋_GB2312" w:cs="仿宋_GB2312" w:eastAsia="仿宋_GB2312"/>
                      <w:sz w:val="24"/>
                      <w:color w:val="000000"/>
                    </w:rPr>
                    <w:t>≥</w:t>
                  </w:r>
                  <w:r>
                    <w:rPr>
                      <w:rFonts w:ascii="仿宋_GB2312" w:hAnsi="仿宋_GB2312" w:cs="仿宋_GB2312" w:eastAsia="仿宋_GB2312"/>
                      <w:sz w:val="24"/>
                      <w:color w:val="000000"/>
                    </w:rPr>
                    <w:t>12个红色O型圈；</w:t>
                  </w:r>
                </w:p>
                <w:p>
                  <w:pPr>
                    <w:pStyle w:val="null3"/>
                    <w:jc w:val="both"/>
                  </w:pPr>
                  <w:r>
                    <w:rPr>
                      <w:rFonts w:ascii="仿宋_GB2312" w:hAnsi="仿宋_GB2312" w:cs="仿宋_GB2312" w:eastAsia="仿宋_GB2312"/>
                      <w:sz w:val="24"/>
                      <w:color w:val="000000"/>
                    </w:rPr>
                    <w:t>3.另配</w:t>
                  </w:r>
                  <w:r>
                    <w:rPr>
                      <w:rFonts w:ascii="仿宋_GB2312" w:hAnsi="仿宋_GB2312" w:cs="仿宋_GB2312" w:eastAsia="仿宋_GB2312"/>
                      <w:sz w:val="24"/>
                      <w:color w:val="000000"/>
                    </w:rPr>
                    <w:t>2mm铜阳极套装1套。包含：</w:t>
                  </w:r>
                  <w:r>
                    <w:rPr>
                      <w:rFonts w:ascii="仿宋_GB2312" w:hAnsi="仿宋_GB2312" w:cs="仿宋_GB2312" w:eastAsia="仿宋_GB2312"/>
                      <w:sz w:val="24"/>
                      <w:color w:val="000000"/>
                    </w:rPr>
                    <w:t>≥</w:t>
                  </w:r>
                  <w:r>
                    <w:rPr>
                      <w:rFonts w:ascii="仿宋_GB2312" w:hAnsi="仿宋_GB2312" w:cs="仿宋_GB2312" w:eastAsia="仿宋_GB2312"/>
                      <w:sz w:val="24"/>
                      <w:color w:val="000000"/>
                    </w:rPr>
                    <w:t>1个铜阳极、</w:t>
                  </w:r>
                  <w:r>
                    <w:rPr>
                      <w:rFonts w:ascii="仿宋_GB2312" w:hAnsi="仿宋_GB2312" w:cs="仿宋_GB2312" w:eastAsia="仿宋_GB2312"/>
                      <w:sz w:val="24"/>
                      <w:color w:val="000000"/>
                    </w:rPr>
                    <w:t>≥</w:t>
                  </w:r>
                  <w:r>
                    <w:rPr>
                      <w:rFonts w:ascii="仿宋_GB2312" w:hAnsi="仿宋_GB2312" w:cs="仿宋_GB2312" w:eastAsia="仿宋_GB2312"/>
                      <w:sz w:val="24"/>
                      <w:color w:val="000000"/>
                    </w:rPr>
                    <w:t>1个陶瓷片、</w:t>
                  </w:r>
                  <w:r>
                    <w:rPr>
                      <w:rFonts w:ascii="仿宋_GB2312" w:hAnsi="仿宋_GB2312" w:cs="仿宋_GB2312" w:eastAsia="仿宋_GB2312"/>
                      <w:sz w:val="24"/>
                      <w:color w:val="000000"/>
                    </w:rPr>
                    <w:t>≥</w:t>
                  </w:r>
                  <w:r>
                    <w:rPr>
                      <w:rFonts w:ascii="仿宋_GB2312" w:hAnsi="仿宋_GB2312" w:cs="仿宋_GB2312" w:eastAsia="仿宋_GB2312"/>
                      <w:sz w:val="24"/>
                      <w:color w:val="000000"/>
                    </w:rPr>
                    <w:t>1个红色O型圈、</w:t>
                  </w:r>
                  <w:r>
                    <w:rPr>
                      <w:rFonts w:ascii="仿宋_GB2312" w:hAnsi="仿宋_GB2312" w:cs="仿宋_GB2312" w:eastAsia="仿宋_GB2312"/>
                      <w:sz w:val="24"/>
                      <w:color w:val="000000"/>
                    </w:rPr>
                    <w:t>≥</w:t>
                  </w:r>
                  <w:r>
                    <w:rPr>
                      <w:rFonts w:ascii="仿宋_GB2312" w:hAnsi="仿宋_GB2312" w:cs="仿宋_GB2312" w:eastAsia="仿宋_GB2312"/>
                      <w:sz w:val="24"/>
                      <w:color w:val="000000"/>
                    </w:rPr>
                    <w:t>1个黑色O型圈、中心校准工具、清洁工具；</w:t>
                  </w:r>
                </w:p>
                <w:p>
                  <w:pPr>
                    <w:pStyle w:val="null3"/>
                    <w:jc w:val="both"/>
                  </w:pPr>
                  <w:r>
                    <w:rPr>
                      <w:rFonts w:ascii="仿宋_GB2312" w:hAnsi="仿宋_GB2312" w:cs="仿宋_GB2312" w:eastAsia="仿宋_GB2312"/>
                      <w:sz w:val="24"/>
                      <w:color w:val="000000"/>
                    </w:rPr>
                    <w:t>4.仪器控制用品牌</w:t>
                  </w:r>
                  <w:r>
                    <w:rPr>
                      <w:rFonts w:ascii="仿宋_GB2312" w:hAnsi="仿宋_GB2312" w:cs="仿宋_GB2312" w:eastAsia="仿宋_GB2312"/>
                      <w:sz w:val="24"/>
                      <w:color w:val="000000"/>
                    </w:rPr>
                    <w:t>工作站</w:t>
                  </w:r>
                  <w:r>
                    <w:rPr>
                      <w:rFonts w:ascii="仿宋_GB2312" w:hAnsi="仿宋_GB2312" w:cs="仿宋_GB2312" w:eastAsia="仿宋_GB2312"/>
                      <w:sz w:val="24"/>
                      <w:color w:val="000000"/>
                    </w:rPr>
                    <w:t>1套。包含：辉光放电光谱仪控制及分析软件、正版Windows</w:t>
                  </w:r>
                  <w:r>
                    <w:rPr>
                      <w:rFonts w:ascii="仿宋_GB2312" w:hAnsi="仿宋_GB2312" w:cs="仿宋_GB2312" w:eastAsia="仿宋_GB2312"/>
                      <w:sz w:val="24"/>
                      <w:color w:val="000000"/>
                    </w:rPr>
                    <w:t>11</w:t>
                  </w:r>
                  <w:r>
                    <w:rPr>
                      <w:rFonts w:ascii="仿宋_GB2312" w:hAnsi="仿宋_GB2312" w:cs="仿宋_GB2312" w:eastAsia="仿宋_GB2312"/>
                      <w:sz w:val="24"/>
                      <w:color w:val="000000"/>
                    </w:rPr>
                    <w:t>操作系统、</w:t>
                  </w:r>
                  <w:r>
                    <w:rPr>
                      <w:rFonts w:ascii="仿宋_GB2312" w:hAnsi="仿宋_GB2312" w:cs="仿宋_GB2312" w:eastAsia="仿宋_GB2312"/>
                      <w:sz w:val="24"/>
                      <w:color w:val="000000"/>
                    </w:rPr>
                    <w:t>Office办公软件；配置不低于：i7处理器+16GB内存+2TB硬盘+27寸屏幕；</w:t>
                  </w:r>
                  <w:r>
                    <w:rPr>
                      <w:rFonts w:ascii="仿宋_GB2312" w:hAnsi="仿宋_GB2312" w:cs="仿宋_GB2312" w:eastAsia="仿宋_GB2312"/>
                      <w:sz w:val="24"/>
                      <w:color w:val="000000"/>
                    </w:rPr>
                    <w:t>独立显卡</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5. 5kVA稳压电源1套。</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合同签订之日起240日历天内完成交付、安装及调试。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一次性付清”为系统固定推述内容，具体付款方式以下列内容为准：（一）国产设备：合同签订前，中标人须在采购人指定的银行开立一般结算账户。合同签订后，采购人通过银行电汇付给中标人合同总价100%的预付款。设备到货、安装、调试、运行并经验收合格后、最终结算时，中标人须向采购人出具合同总价款的增值税专用发票。（二）进口设备：合同生效后，由采购人通过指定的进口业务代理公司向中标人开出全额信用证（100%信用证），信用证100%凭学校出具的正式验收报告解付。最终结算时，中标人应通过采购人指定的进口业务代理公司向采购人开具符合采购人要求的合同总价款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到货后，招标人与中标人双方共同开箱验收。在检查设备原产地、规格、型号、配置等符合合同要求后，由中标人负责安装调试，招标人负责技术验收（中标人协助），验收标准以国内或同文本仪器设备详细配置清单中描述的有关技术要求为准。 2.中标人安装调试完毕、正常运行后及时向招标人提出书面验收申请，招标人将组织人员对采购物品进行核查验收，核查验收时需出具经招标人确认的开箱验收报告，核查验收工作完成后签字确认。验收不合格的，限期整改；整改仍达不到要求的，作退货处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（1）质量保证期：验收合格通过之日起1年。 （2）售后服务响应时间（质保期内）：售后服务响应不得超出24小时，制定解决方案，2个工作日内派人到现场维修。超过2个工作日未排除故障，保修期顺延；如无法修复，则提供部件冗余服务或采取应急措施，提供相同产品或不低于故障产品规格档次的备用产品供招标人使用，以确保货物的正常使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（2）乙方未按合同要求的提供产品或产品质量不能满足技术要求，甲方有权终止合同，甚至对乙方违约行为进行追究。 （3）如有纠纷，双方友好协商解决，协商不成时可诉讼到甲方所在地人民法院解决。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所有设备安装、调试开始前，中标人负责按照招标人要求进行相关技术培训，每次培训不低于8小时，培训内容包含：设备的工作原理、设备结构、操作步骤、主要部件用途、消耗品更换、日常保养、硬件维护、故障排查等，并提供应用、技术支持及软/硬件升级。 2.培训目标：保证客户能够独立操作、熟练使用、维护和管理有关设备； 3.投标人需要在线提交所有通过电子化交易平台实施的政府采购项目的投标文件，同时，线下提交纸质投标文件正本壹份、副本壹份，纸质投标文件正副本分别胶装，标明投标人名称密封递交，递交截止时间同在线递交电子投标文件截止时间一致，线下递交文件地点：开瑞项目管理有限公司（陕西省西安市莲湖区高新二路1号招商银行大厦19层，联系人：刘如拉、代光艳，联系电话：15229797656、17302920968）,若电子投标文件与纸质投标文件不一致的，以电子投标文件为准。 4.投标保证金注意事项 （1）投标保证金须从投标人户名支付，如从个人户名或非投标人户名支付，将被拒绝，视为自动放弃投标权利（该个人是投标人的情形除外）；投标人保证金缴纳时间：开标时间之前；以保函形式交纳投标保证金的，投标人应在投标截止时间前将保函上传至政府采购电子化交易平台，同时将保函扫描成清晰的PDF文件，发送至邮箱2973608682@qq.com（邮件命名：项目名称+项目编号）；投标人应在投标文件中附保函复印件。保函必须由具有开具投标保函资格的单位开具；若投标人违约，开具保函单位承担连带责任； （2）投标保证金的提交金额、时间不满足招标文件要求的，投标无效。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提供会计师事务所出具的有效的2024或2025年度的审计报告（成立时间至提交投标文件截止时间不足一年的可提供成立后任意时段的资产负债表），或投标文件提交截止时间前6个月内银行出具的资信证明，或信用担保机构出具的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投标人为向招标人提供相关货物的法人或其他组织；</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截止至投标文件递交截止时间之前，投标人未被“信用中国”网站列入失信被执行人、重大税收违法失信主体名单，未被“中国政府采购网”网站列入政府采购严重违法失信行为记录名单；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投标人应授权合法的人员参加本项目招标活动全过程；</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是否接受进口产品</w:t>
            </w:r>
          </w:p>
        </w:tc>
        <w:tc>
          <w:tcPr>
            <w:tcW w:type="dxa" w:w="3322"/>
          </w:tcPr>
          <w:p>
            <w:pPr>
              <w:pStyle w:val="null3"/>
            </w:pPr>
            <w:r>
              <w:rPr>
                <w:rFonts w:ascii="仿宋_GB2312" w:hAnsi="仿宋_GB2312" w:cs="仿宋_GB2312" w:eastAsia="仿宋_GB2312"/>
              </w:rPr>
              <w:t>本项目已做进口论证，接受进口产品的投标；投标人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本国产品标准的声明函.docx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是否面向中小企业采购</w:t>
            </w:r>
          </w:p>
        </w:tc>
        <w:tc>
          <w:tcPr>
            <w:tcW w:type="dxa" w:w="3322"/>
          </w:tcPr>
          <w:p>
            <w:pPr>
              <w:pStyle w:val="null3"/>
            </w:pPr>
            <w:r>
              <w:rPr>
                <w:rFonts w:ascii="仿宋_GB2312" w:hAnsi="仿宋_GB2312" w:cs="仿宋_GB2312" w:eastAsia="仿宋_GB2312"/>
              </w:rPr>
              <w:t>本项目不专门面向中小企业采购。</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监总局联合印发《关于调整优化节能产品、环境标志产品政府采购执行机制的通知》（财库〔2019〕9号）； 4）《陕西省财政厅关于加快推进我省中小企业政府采购信用融资工作的通知》（陕财办采〔2020〕15 号）、陕西省财政厅关于印发《陕西省中小企业政府采购信用融资办法》（陕财办采〔2018〕23 号）； 5）落实《国务院办公厅关于在政府采购中实施本国产品标准及相关政策的通知》（国办发﹝2025﹞34号）的政策； 6）其他需要落实的政府采购政策。</w:t>
            </w:r>
          </w:p>
        </w:tc>
        <w:tc>
          <w:tcPr>
            <w:tcW w:type="dxa" w:w="1661"/>
          </w:tcPr>
          <w:p>
            <w:pPr>
              <w:pStyle w:val="null3"/>
            </w:pPr>
            <w:r>
              <w:rPr>
                <w:rFonts w:ascii="仿宋_GB2312" w:hAnsi="仿宋_GB2312" w:cs="仿宋_GB2312" w:eastAsia="仿宋_GB2312"/>
              </w:rPr>
              <w:t>本国产品标准的声明函.docx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投标文件应当按招标文件要求签署、盖章，否则评标委员会应当将其投标文件作为无效处理。</w:t>
            </w:r>
          </w:p>
        </w:tc>
        <w:tc>
          <w:tcPr>
            <w:tcW w:type="dxa" w:w="1661"/>
          </w:tcPr>
          <w:p>
            <w:pPr>
              <w:pStyle w:val="null3"/>
            </w:pPr>
            <w:r>
              <w:rPr>
                <w:rFonts w:ascii="仿宋_GB2312" w:hAnsi="仿宋_GB2312" w:cs="仿宋_GB2312" w:eastAsia="仿宋_GB2312"/>
              </w:rPr>
              <w:t>开标一览表 本国产品标准的声明函.docx 中小企业声明函 商务应答表 备品备件清单.docx 技术条款响应偏离表.docx 进度保证措施.docx 投标函 残疾人福利性单位声明函 应急事故响应及处理方案.docx 组织保证措施.docx 业绩证明材料.docx 标的清单 投标文件封面 实施方案.docx 资格证明材料.docx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报价是否超过招标文件中规定的最高限价的</w:t>
            </w:r>
          </w:p>
        </w:tc>
        <w:tc>
          <w:tcPr>
            <w:tcW w:type="dxa" w:w="3322"/>
          </w:tcPr>
          <w:p>
            <w:pPr>
              <w:pStyle w:val="null3"/>
            </w:pPr>
            <w:r>
              <w:rPr>
                <w:rFonts w:ascii="仿宋_GB2312" w:hAnsi="仿宋_GB2312" w:cs="仿宋_GB2312" w:eastAsia="仿宋_GB2312"/>
              </w:rPr>
              <w:t>投标文件的报价应当不超过招标文件中规定的最高限价，否则评标委员会应当将其投标文件作为无效处理。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投标文件未含有采购人不能接受的附加条件的或其他情形，否则评标委员会应当将其投标文件作为无效处理。</w:t>
            </w:r>
          </w:p>
        </w:tc>
        <w:tc>
          <w:tcPr>
            <w:tcW w:type="dxa" w:w="1661"/>
          </w:tcPr>
          <w:p>
            <w:pPr>
              <w:pStyle w:val="null3"/>
            </w:pPr>
            <w:r>
              <w:rPr>
                <w:rFonts w:ascii="仿宋_GB2312" w:hAnsi="仿宋_GB2312" w:cs="仿宋_GB2312" w:eastAsia="仿宋_GB2312"/>
              </w:rPr>
              <w:t>开标一览表 本国产品标准的声明函.docx 中小企业声明函 商务应答表 备品备件清单.docx 技术条款响应偏离表.docx 进度保证措施.docx 投标函 残疾人福利性单位声明函 应急事故响应及处理方案.docx 组织保证措施.docx 业绩证明材料.docx 标的清单 投标文件封面 实施方案.docx 资格证明材料.docx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投标文件未发现法律、法规和招标文件规定的其他无效情形，否则评标委员会应当将其投标文件作为无效处理。</w:t>
            </w:r>
          </w:p>
        </w:tc>
        <w:tc>
          <w:tcPr>
            <w:tcW w:type="dxa" w:w="1661"/>
          </w:tcPr>
          <w:p>
            <w:pPr>
              <w:pStyle w:val="null3"/>
            </w:pPr>
            <w:r>
              <w:rPr>
                <w:rFonts w:ascii="仿宋_GB2312" w:hAnsi="仿宋_GB2312" w:cs="仿宋_GB2312" w:eastAsia="仿宋_GB2312"/>
              </w:rPr>
              <w:t>开标一览表 本国产品标准的声明函.docx 中小企业声明函 商务应答表 备品备件清单.docx 技术条款响应偏离表.docx 进度保证措施.docx 投标函 残疾人福利性单位声明函 应急事故响应及处理方案.docx 组织保证措施.docx 业绩证明材料.docx 标的清单 投标文件封面 实施方案.docx 资格证明材料.docx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投标文件是否响应本项目商务要求及服务内容及要求中的标记“★”条款</w:t>
            </w:r>
          </w:p>
        </w:tc>
        <w:tc>
          <w:tcPr>
            <w:tcW w:type="dxa" w:w="3322"/>
          </w:tcPr>
          <w:p>
            <w:pPr>
              <w:pStyle w:val="null3"/>
            </w:pPr>
            <w:r>
              <w:rPr>
                <w:rFonts w:ascii="仿宋_GB2312" w:hAnsi="仿宋_GB2312" w:cs="仿宋_GB2312" w:eastAsia="仿宋_GB2312"/>
              </w:rPr>
              <w:t>投标文件响应本项目商务要求及采购内容及要求中的标记“★”条款。</w:t>
            </w:r>
          </w:p>
        </w:tc>
        <w:tc>
          <w:tcPr>
            <w:tcW w:type="dxa" w:w="1661"/>
          </w:tcPr>
          <w:p>
            <w:pPr>
              <w:pStyle w:val="null3"/>
            </w:pPr>
            <w:r>
              <w:rPr>
                <w:rFonts w:ascii="仿宋_GB2312" w:hAnsi="仿宋_GB2312" w:cs="仿宋_GB2312" w:eastAsia="仿宋_GB2312"/>
              </w:rPr>
              <w:t>商务应答表 技术条款响应偏离表.docx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 （1）完全满足采购技术要求的，得30分；标记“★”的参数需求为实质性要求，投标人必须响应并满足的参数需求，否则按无效投标处理。 （2）技术参数标记为“▲”为重要技术条款，每负偏离一项扣4分，共5项； （3）未标记“★”“▲”技术指标每负偏离一项扣1分，扣完为止。 备注：标记“★”及“▲”的技术指标至少须提供下列证明材料之一予以佐证：①产品说明书；②产品检测报告；③产品彩页；④产品截图；⑤官方网页截图，投标人应在投标文件中给出明确的证明材料索引，未提供有效证明材料或证明材料中内容与所填报指标不一致的或缺项、漏项的，将视为此条不满足，视同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技术条款响应偏离表.docx</w:t>
            </w:r>
          </w:p>
        </w:tc>
      </w:tr>
      <w:tr>
        <w:tc>
          <w:tcPr>
            <w:tcW w:type="dxa" w:w="831"/>
            <w:vMerge/>
          </w:tcPr>
          <w:p/>
        </w:tc>
        <w:tc>
          <w:tcPr>
            <w:tcW w:type="dxa" w:w="1661"/>
          </w:tcPr>
          <w:p>
            <w:pPr>
              <w:pStyle w:val="null3"/>
            </w:pPr>
            <w:r>
              <w:rPr>
                <w:rFonts w:ascii="仿宋_GB2312" w:hAnsi="仿宋_GB2312" w:cs="仿宋_GB2312" w:eastAsia="仿宋_GB2312"/>
              </w:rPr>
              <w:t>组织保证措施</w:t>
            </w:r>
          </w:p>
        </w:tc>
        <w:tc>
          <w:tcPr>
            <w:tcW w:type="dxa" w:w="2492"/>
          </w:tcPr>
          <w:p>
            <w:pPr>
              <w:pStyle w:val="null3"/>
            </w:pPr>
            <w:r>
              <w:rPr>
                <w:rFonts w:ascii="仿宋_GB2312" w:hAnsi="仿宋_GB2312" w:cs="仿宋_GB2312" w:eastAsia="仿宋_GB2312"/>
              </w:rPr>
              <w:t>根据投标人提供的组织保证措施（①组织机构方案；②专业服务团队情况；③有关管理制度 ）进行评审，包括但不限于： 1.组织机构：组织机构完备，框架结构完整，运行机制有效的得0-1分； 2.服务团队：服务团队人员充实、结构合理、均具备相应经验，能有效保障项目实施的得0-1分； 3.管理制度：管理制度完善，与项目实施具有很强的切合程度，具有针对性、可行性得0-1分；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组织保证措施.docx</w:t>
            </w:r>
          </w:p>
        </w:tc>
      </w:tr>
      <w:tr>
        <w:tc>
          <w:tcPr>
            <w:tcW w:type="dxa" w:w="831"/>
            <w:vMerge/>
          </w:tcPr>
          <w:p/>
        </w:tc>
        <w:tc>
          <w:tcPr>
            <w:tcW w:type="dxa" w:w="1661"/>
          </w:tcPr>
          <w:p>
            <w:pPr>
              <w:pStyle w:val="null3"/>
            </w:pPr>
            <w:r>
              <w:rPr>
                <w:rFonts w:ascii="仿宋_GB2312" w:hAnsi="仿宋_GB2312" w:cs="仿宋_GB2312" w:eastAsia="仿宋_GB2312"/>
              </w:rPr>
              <w:t>实施方案1</w:t>
            </w:r>
          </w:p>
        </w:tc>
        <w:tc>
          <w:tcPr>
            <w:tcW w:type="dxa" w:w="2492"/>
          </w:tcPr>
          <w:p>
            <w:pPr>
              <w:pStyle w:val="null3"/>
            </w:pPr>
            <w:r>
              <w:rPr>
                <w:rFonts w:ascii="仿宋_GB2312" w:hAnsi="仿宋_GB2312" w:cs="仿宋_GB2312" w:eastAsia="仿宋_GB2312"/>
              </w:rPr>
              <w:t>1.根据投标人提供的运输阶段的质量保证措施（包括①对产品打包、装卸的保护措施；②运输工具配置情况；③运输人员配置；④运输过程中对产品的保护措施。）进行评审： ①对产品打包、装卸的保护措施： 产品打包、装卸保护措施方案完整详细，具备合理性及可行性的得1.1-2分； 产品打包、装卸保护措施方案完整详细，合理性及可行性欠缺的得0-1分； ②运输工具配置情况： 运输工具配置合理得当并附有相应证明材料（包括但不限于运输工具购买凭证、租用凭证或具有固定的合作物流点的相关证明材料）得1.1-2分； 运输工具配置合理有欠缺，证明资料不全的得0-1分； ③运输人员配置： 有专职运输人员，配置合理并附有人员配置表及详细信息，能完全保障运输过程中的质量安全的得1.1-2分； 有专职运输人员，配置合理并附有人员配置表有欠缺的得0-1分； ④运输过程中对产品的保护措施： 运输过程中对产品的保护措施全面合理可行，具有针对性、可行性的得1.1-2分； 运输过程中对产品的保护措施有欠缺的得0-1分；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实施方案2</w:t>
            </w:r>
          </w:p>
        </w:tc>
        <w:tc>
          <w:tcPr>
            <w:tcW w:type="dxa" w:w="2492"/>
          </w:tcPr>
          <w:p>
            <w:pPr>
              <w:pStyle w:val="null3"/>
            </w:pPr>
            <w:r>
              <w:rPr>
                <w:rFonts w:ascii="仿宋_GB2312" w:hAnsi="仿宋_GB2312" w:cs="仿宋_GB2312" w:eastAsia="仿宋_GB2312"/>
              </w:rPr>
              <w:t>2.根据投标人提供的安装调试阶段的质量保证措施（包括①安装调试标准；②安装调试工具及安装调试人员配置情况；③安装调试过程中对产品的保护措施）进行评审： ①安装调试标准： 提供安装调试方案，严格按照生产厂家出具的使用说明进行安装调试并提供相应标准的得0.1-2分； 提供安装调试方案，安装调试及提供相应标准内容稍有欠缺的得0-1分； ②安装调试工具配置情况： 配备的安装调试工具先进适配，安装调试人员具有专业性，且在安装调试方面具备充足的经验的，完全满足安装调试要求的得1.1-2分； 配备的安装调试工具及安装调试人员具有专业性，在安装调试方面经验稍有欠缺的得0-1分； ③安装调试过程中对产品的保护措施： 在安装调试过程中的保护措施详细合理可行，保证对产品不会造成损坏的得1.1-2分； 在安装调试过程中的保护措施简单粗略，无法保证对产品不会造成损坏的得0-1分；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备品备件清单.docx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实施方案3</w:t>
            </w:r>
          </w:p>
        </w:tc>
        <w:tc>
          <w:tcPr>
            <w:tcW w:type="dxa" w:w="2492"/>
          </w:tcPr>
          <w:p>
            <w:pPr>
              <w:pStyle w:val="null3"/>
            </w:pPr>
            <w:r>
              <w:rPr>
                <w:rFonts w:ascii="仿宋_GB2312" w:hAnsi="仿宋_GB2312" w:cs="仿宋_GB2312" w:eastAsia="仿宋_GB2312"/>
              </w:rPr>
              <w:t>3.根据投标人针对本项目具有可行的技术培训方案，培训采购人指定的操作和维修人员，制定培训课程计划表，列出培训的地点和时间，培训内容应包括所提供设备的原理和技术性能、操作维护方法、安装调试、排除故障等各个方面，培训的具体日期及人数由使用单位确定。确保培训后的人员应能熟练操作设备，了解设备结构、工作原理，并能排除一般故障进行评审： ①培训课程计划 提供培训课程计划，列出培训的地点和时间，根据培训课程计划内容得0-1分。 ②培训大纲 提供培训大纲，根据培训大纲内容得0-1分。 ③设备使用培训方案 提供培训设备使用方案，根据设备使用培训方案内容得0-1分。 ④设备的原理和技术性能培训方案 提供培训设备的原理和技术性能培训方案，根据培训方案内容得0-1分。 ⑤操作维护方法 提供操作维护方法，根据培训内容得0-1分。 ⑥排除故障方法 投标排除故障方法，根据培训内容得0-1分。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实施方案4</w:t>
            </w:r>
          </w:p>
        </w:tc>
        <w:tc>
          <w:tcPr>
            <w:tcW w:type="dxa" w:w="2492"/>
          </w:tcPr>
          <w:p>
            <w:pPr>
              <w:pStyle w:val="null3"/>
            </w:pPr>
            <w:r>
              <w:rPr>
                <w:rFonts w:ascii="仿宋_GB2312" w:hAnsi="仿宋_GB2312" w:cs="仿宋_GB2312" w:eastAsia="仿宋_GB2312"/>
              </w:rPr>
              <w:t>4.根据投标人提供的售后阶段的质量保证措施（包括①售后服务机构及人员配置方案；②提供保修期外至全寿命周期内零配件及备品备件供应方案；③提供所投产品制造商的售后服务承诺函）进行评审： ①售后服务机构及人员配置方案： 有投标人自己的维修服务机构，提供专职售后服务人员（提供专职人员身份证复印件及劳动合同）完全满足本项目需求，且配备的人员具有相关技能证书（提供相关技能证书）的得0-2分； ②提供保修期外至全寿命周期内零配件及备品备件供应方案： 提供的零配件及备品备件供应方案包括但不限于供应时间、安装更换方式、定价方式（不高于当年市场平均价格，提供不高于市场平均价格的承诺书），方案及承诺详细完善，完全切合本项目实际需求的得0-1分； ③提供所投产品制造商的售后服务承诺函： 根据投标人提供售后服务承诺函内容得0-1分。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根据投标人提供的进度保证措施（包括①生产进度保证措施；②运输进度保证措施；③安装调试进度保证措施）进行评审： ①生产进度保证措施： 生产进度保证措施合详细可行，有针对性，完全满足项目要求的得1.1-2分； 生产进度保证措施所有欠缺，可行性针对性稍有欠缺，不能完全满足项目要求的得0-1分； ②运输进度保证措施： 运输进度安排合理、详细，能完全保障运输的时效性的得0-1分； ③安装调试进度保证措施： 安装、调试方案科学可行，完全满足项目要求的得0-1分；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进度保证措施.docx</w:t>
            </w:r>
          </w:p>
        </w:tc>
      </w:tr>
      <w:tr>
        <w:tc>
          <w:tcPr>
            <w:tcW w:type="dxa" w:w="831"/>
            <w:vMerge/>
          </w:tcPr>
          <w:p/>
        </w:tc>
        <w:tc>
          <w:tcPr>
            <w:tcW w:type="dxa" w:w="1661"/>
          </w:tcPr>
          <w:p>
            <w:pPr>
              <w:pStyle w:val="null3"/>
            </w:pPr>
            <w:r>
              <w:rPr>
                <w:rFonts w:ascii="仿宋_GB2312" w:hAnsi="仿宋_GB2312" w:cs="仿宋_GB2312" w:eastAsia="仿宋_GB2312"/>
              </w:rPr>
              <w:t>应急事故响应及处理方案</w:t>
            </w:r>
          </w:p>
        </w:tc>
        <w:tc>
          <w:tcPr>
            <w:tcW w:type="dxa" w:w="2492"/>
          </w:tcPr>
          <w:p>
            <w:pPr>
              <w:pStyle w:val="null3"/>
            </w:pPr>
            <w:r>
              <w:rPr>
                <w:rFonts w:ascii="仿宋_GB2312" w:hAnsi="仿宋_GB2312" w:cs="仿宋_GB2312" w:eastAsia="仿宋_GB2312"/>
              </w:rPr>
              <w:t>根据投标人提供的应急事故响应及处理方案（包括①可能发生的应急事故情况分析；②应急响应时间；③紧急安全保障措施）进行评审： ①可能发生的应急事故情况分析 应急事故情况预估考虑充分，分析解决方案全面合理完整的得0-1分； ②应急响应时间 应急响应时间合理可行，能完全保障设备故障后的运行的得1.1-2分； 应急响应时间不合理，无法保障设备故障后的运行的得0-1分； ③紧急安全保障措施 紧急安全保障措施合理可行，完全适用于本项目采购人得0-1分；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应急事故响应及处理方案.docx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投标人应在投标文件中提供该投标人自2022年10月1日起至今的同类业绩证明材料，每提供一份业绩合同的得1分，满分为5分，不得重复累计。 注：以合同签订时间为准，投标人应在投标文件中提供业绩合同复印件或扫描件且加盖单位公章。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经初审合格的投标文件，其投标报价为有效投标价。评标基准价：即满足招标文件要求且投标价格最低的投标报价为评标基准价。 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10.00%的扣除，用扣除后的价格参加评审。承接本项目的供应商符合相应条件时，给予10.00%的价格扣除，即：评标价=磋商最后报价×（1-10.00%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详见附件：技术条款响应偏离表.docx</w:t>
      </w:r>
    </w:p>
    <w:p>
      <w:pPr>
        <w:pStyle w:val="null3"/>
        <w:ind w:firstLine="960"/>
      </w:pPr>
      <w:r>
        <w:rPr>
          <w:rFonts w:ascii="仿宋_GB2312" w:hAnsi="仿宋_GB2312" w:cs="仿宋_GB2312" w:eastAsia="仿宋_GB2312"/>
        </w:rPr>
        <w:t>详见附件：组织保证措施.docx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详见附件：进度保证措施.docx</w:t>
      </w:r>
    </w:p>
    <w:p>
      <w:pPr>
        <w:pStyle w:val="null3"/>
        <w:ind w:firstLine="960"/>
      </w:pPr>
      <w:r>
        <w:rPr>
          <w:rFonts w:ascii="仿宋_GB2312" w:hAnsi="仿宋_GB2312" w:cs="仿宋_GB2312" w:eastAsia="仿宋_GB2312"/>
        </w:rPr>
        <w:t>详见附件：应急事故响应及处理方案.docx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详见附件：备品备件清单.docx</w:t>
      </w:r>
    </w:p>
    <w:p>
      <w:pPr>
        <w:pStyle w:val="null3"/>
        <w:ind w:firstLine="960"/>
      </w:pPr>
      <w:r>
        <w:rPr>
          <w:rFonts w:ascii="仿宋_GB2312" w:hAnsi="仿宋_GB2312" w:cs="仿宋_GB2312" w:eastAsia="仿宋_GB2312"/>
        </w:rPr>
        <w:t>详见附件：本国产品标准的声明函.docx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详见附件：拟签订的合同参考文本.docx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