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版本号：【KRDL】K4-2510216-0220260309001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400GRoCEv2网络测试仪采购项目(二次)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【KRDL】K4-2510216-02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400GRoCEv2网络测试仪采购项目(二次)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【KRDL】K4-2510216-02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400GRoCEv2网络测试仪采购项目(二次)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西安邮电大学400G RoCEv2网络测试仪采购项目，拟采购超高速智算网络测试平台、400G网络损伤仪、400G网卡驱动、高性能网络硬件支撑环境、DPU卡原型各1套，具体采购内容及要求详见本项目招标文件、答疑文件等文件的全部内容。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1、主体资格：投标人为向招标人提供相关货物的法人或其他组织；</w:t>
      </w:r>
    </w:p>
    <w:p>
      <w:pPr>
        <w:pStyle w:val="null3"/>
      </w:pPr>
      <w:r>
        <w:rPr>
          <w:rFonts w:ascii="仿宋_GB2312" w:hAnsi="仿宋_GB2312" w:cs="仿宋_GB2312" w:eastAsia="仿宋_GB2312"/>
        </w:rPr>
        <w:t>2、财务状况证明：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6、是否接受进口产品投标：本项目未做进口论证，不接受进口产品的投标。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代光艳、刘如拉、贾亚妮、王昭、姚瑶、刘昆、张晨、王森、靳祥德、成荔、彭明杨、王莉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改革委员会办公厅颁发的《关于招标代理服务收费有关问题的通知》（发改办价格[2003] 857号）的有关规定标准下浮20%计取，向采购代理机构一次付清代理服务费。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西安邮电大学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以本项目签订合同约定为准。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西安邮电大学400G RoCEv2网络测试仪采购项目，拟采购超高速智算网络测试平台、400G网络损伤仪、400G网卡驱动、高性能网络硬件支撑环境、DPU卡原型各1套。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6,498,000.00</w:t>
      </w:r>
    </w:p>
    <w:p>
      <w:pPr>
        <w:pStyle w:val="null3"/>
      </w:pPr>
      <w:r>
        <w:rPr>
          <w:rFonts w:ascii="仿宋_GB2312" w:hAnsi="仿宋_GB2312" w:cs="仿宋_GB2312" w:eastAsia="仿宋_GB2312"/>
        </w:rPr>
        <w:t>采购包最高限价（元）: 6,498,000.00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400G RoCEv2网络测试仪采购项目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6,498,000.00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标的名称：400G RoCEv2网络测试仪采购项目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270"/>
              <w:tblBorders>
                <w:top w:val="none" w:color="000000" w:sz="4"/>
                <w:left w:val="none" w:color="000000" w:sz="4"/>
                <w:bottom w:val="none" w:color="000000" w:sz="4"/>
                <w:right w:val="none" w:color="000000" w:sz="4"/>
                <w:insideH w:val="none"/>
                <w:insideV w:val="none"/>
              </w:tblBorders>
            </w:tblPr>
            <w:tblGrid>
              <w:gridCol w:w="226"/>
              <w:gridCol w:w="226"/>
              <w:gridCol w:w="1857"/>
              <w:gridCol w:w="234"/>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品目</w:t>
                  </w:r>
                </w:p>
                <w:p>
                  <w:pPr>
                    <w:pStyle w:val="null3"/>
                    <w:jc w:val="center"/>
                  </w:pPr>
                  <w:r>
                    <w:rPr>
                      <w:rFonts w:ascii="仿宋_GB2312" w:hAnsi="仿宋_GB2312" w:cs="仿宋_GB2312" w:eastAsia="仿宋_GB2312"/>
                      <w:sz w:val="24"/>
                      <w:b/>
                      <w:color w:val="000000"/>
                    </w:rPr>
                    <w:t>名称</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技术要求</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r>
                    <w:rPr>
                      <w:rFonts w:ascii="仿宋_GB2312" w:hAnsi="仿宋_GB2312" w:cs="仿宋_GB2312" w:eastAsia="仿宋_GB2312"/>
                      <w:sz w:val="24"/>
                      <w:b/>
                      <w:color w:val="000000"/>
                    </w:rPr>
                    <w:t>/单位</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超高速智算网络测试平台</w:t>
                  </w:r>
                  <w:r>
                    <w:rPr>
                      <w:rFonts w:ascii="仿宋_GB2312" w:hAnsi="仿宋_GB2312" w:cs="仿宋_GB2312" w:eastAsia="仿宋_GB2312"/>
                      <w:sz w:val="24"/>
                      <w:b/>
                      <w:color w:val="000000"/>
                    </w:rPr>
                    <w:t>（核心产品）</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▲1.超高速智算网络测试平台要求提供≥1台超高速2～3层智算网络测试平台、≥1台超高速4～7层智算网络测试平台。</w:t>
                  </w:r>
                </w:p>
                <w:p>
                  <w:pPr>
                    <w:pStyle w:val="null3"/>
                    <w:jc w:val="both"/>
                  </w:pPr>
                  <w:r>
                    <w:rPr>
                      <w:rFonts w:ascii="仿宋_GB2312" w:hAnsi="仿宋_GB2312" w:cs="仿宋_GB2312" w:eastAsia="仿宋_GB2312"/>
                      <w:sz w:val="24"/>
                      <w:b/>
                      <w:color w:val="000000"/>
                    </w:rPr>
                    <w:t>一、超高速</w:t>
                  </w:r>
                  <w:r>
                    <w:rPr>
                      <w:rFonts w:ascii="仿宋_GB2312" w:hAnsi="仿宋_GB2312" w:cs="仿宋_GB2312" w:eastAsia="仿宋_GB2312"/>
                      <w:sz w:val="24"/>
                      <w:b/>
                      <w:color w:val="000000"/>
                    </w:rPr>
                    <w:t>2～3层智算网络测试平台要求：</w:t>
                  </w:r>
                </w:p>
                <w:p>
                  <w:pPr>
                    <w:pStyle w:val="null3"/>
                    <w:jc w:val="both"/>
                  </w:pPr>
                  <w:r>
                    <w:rPr>
                      <w:rFonts w:ascii="仿宋_GB2312" w:hAnsi="仿宋_GB2312" w:cs="仿宋_GB2312" w:eastAsia="仿宋_GB2312"/>
                      <w:sz w:val="24"/>
                      <w:color w:val="000000"/>
                    </w:rPr>
                    <w:t>▲2.硬件测试平台支持插框式架构，高度≤5U；</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每单板提供</w:t>
                  </w:r>
                  <w:r>
                    <w:rPr>
                      <w:rFonts w:ascii="仿宋_GB2312" w:hAnsi="仿宋_GB2312" w:cs="仿宋_GB2312" w:eastAsia="仿宋_GB2312"/>
                      <w:sz w:val="24"/>
                      <w:color w:val="000000"/>
                    </w:rPr>
                    <w:t>≥6个独立的400GE接口，支持400G/200G/100G等速率；</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.支持频偏±105ppm；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.支持通过时钟口进行级联，实现框间时钟同步；</w:t>
                  </w:r>
                </w:p>
                <w:p>
                  <w:pPr>
                    <w:pStyle w:val="null3"/>
                    <w:jc w:val="both"/>
                  </w:pPr>
                  <w:r>
                    <w:rPr>
                      <w:rFonts w:ascii="仿宋_GB2312" w:hAnsi="仿宋_GB2312" w:cs="仿宋_GB2312" w:eastAsia="仿宋_GB2312"/>
                      <w:sz w:val="24"/>
                      <w:b/>
                      <w:color w:val="000000"/>
                    </w:rPr>
                    <w:t>二、超高速</w:t>
                  </w:r>
                  <w:r>
                    <w:rPr>
                      <w:rFonts w:ascii="仿宋_GB2312" w:hAnsi="仿宋_GB2312" w:cs="仿宋_GB2312" w:eastAsia="仿宋_GB2312"/>
                      <w:sz w:val="24"/>
                      <w:b/>
                      <w:color w:val="000000"/>
                    </w:rPr>
                    <w:t>4～7层智算网络测试平台要求：</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.机架式设备，高度≤3U，可扩展，提供≥6个插槽；</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≥2个400G OSFP原生接口和≥4个100GE QSFP28原生接口；</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.CPU数量：≥2颗，每个CPU≥16核，主频≥3.2GHz</w:t>
                  </w:r>
                  <w:r>
                    <w:rPr>
                      <w:rFonts w:ascii="仿宋_GB2312" w:hAnsi="仿宋_GB2312" w:cs="仿宋_GB2312" w:eastAsia="仿宋_GB2312"/>
                      <w:sz w:val="24"/>
                      <w:color w:val="000000"/>
                    </w:rPr>
                    <w:t>，</w:t>
                  </w:r>
                  <w:r>
                    <w:rPr>
                      <w:rFonts w:ascii="仿宋_GB2312" w:hAnsi="仿宋_GB2312" w:cs="仿宋_GB2312" w:eastAsia="仿宋_GB2312"/>
                      <w:sz w:val="24"/>
                      <w:color w:val="000000"/>
                    </w:rPr>
                    <w:t>存储盘：</w:t>
                  </w:r>
                  <w:r>
                    <w:rPr>
                      <w:rFonts w:ascii="仿宋_GB2312" w:hAnsi="仿宋_GB2312" w:cs="仿宋_GB2312" w:eastAsia="仿宋_GB2312"/>
                      <w:sz w:val="24"/>
                      <w:color w:val="000000"/>
                    </w:rPr>
                    <w:t>≥4TB；</w:t>
                  </w:r>
                </w:p>
                <w:p>
                  <w:pPr>
                    <w:pStyle w:val="null3"/>
                    <w:jc w:val="both"/>
                  </w:pPr>
                  <w:r>
                    <w:rPr>
                      <w:rFonts w:ascii="仿宋_GB2312" w:hAnsi="仿宋_GB2312" w:cs="仿宋_GB2312" w:eastAsia="仿宋_GB2312"/>
                      <w:sz w:val="24"/>
                      <w:b/>
                      <w:color w:val="000000"/>
                    </w:rPr>
                    <w:t>三、基础性能测试</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端口相互独立，支持</w:t>
                  </w:r>
                  <w:r>
                    <w:rPr>
                      <w:rFonts w:ascii="仿宋_GB2312" w:hAnsi="仿宋_GB2312" w:cs="仿宋_GB2312" w:eastAsia="仿宋_GB2312"/>
                      <w:sz w:val="24"/>
                      <w:color w:val="000000"/>
                    </w:rPr>
                    <w:t>Single Burst</w:t>
                  </w:r>
                  <w:r>
                    <w:rPr>
                      <w:rFonts w:ascii="仿宋_GB2312" w:hAnsi="仿宋_GB2312" w:cs="仿宋_GB2312" w:eastAsia="仿宋_GB2312"/>
                      <w:sz w:val="24"/>
                      <w:color w:val="000000"/>
                    </w:rPr>
                    <w:t>、</w:t>
                  </w:r>
                  <w:r>
                    <w:rPr>
                      <w:rFonts w:ascii="仿宋_GB2312" w:hAnsi="仿宋_GB2312" w:cs="仿宋_GB2312" w:eastAsia="仿宋_GB2312"/>
                      <w:sz w:val="24"/>
                      <w:color w:val="000000"/>
                    </w:rPr>
                    <w:t>Multi Burst</w:t>
                  </w:r>
                  <w:r>
                    <w:rPr>
                      <w:rFonts w:ascii="仿宋_GB2312" w:hAnsi="仿宋_GB2312" w:cs="仿宋_GB2312" w:eastAsia="仿宋_GB2312"/>
                      <w:sz w:val="24"/>
                      <w:color w:val="000000"/>
                    </w:rPr>
                    <w:t>、</w:t>
                  </w:r>
                  <w:r>
                    <w:rPr>
                      <w:rFonts w:ascii="仿宋_GB2312" w:hAnsi="仿宋_GB2312" w:cs="仿宋_GB2312" w:eastAsia="仿宋_GB2312"/>
                      <w:sz w:val="24"/>
                      <w:color w:val="000000"/>
                    </w:rPr>
                    <w:t>Timed Burst</w:t>
                  </w:r>
                  <w:r>
                    <w:rPr>
                      <w:rFonts w:ascii="仿宋_GB2312" w:hAnsi="仿宋_GB2312" w:cs="仿宋_GB2312" w:eastAsia="仿宋_GB2312"/>
                      <w:sz w:val="24"/>
                      <w:color w:val="000000"/>
                    </w:rPr>
                    <w:t>、</w:t>
                  </w:r>
                  <w:r>
                    <w:rPr>
                      <w:rFonts w:ascii="仿宋_GB2312" w:hAnsi="仿宋_GB2312" w:cs="仿宋_GB2312" w:eastAsia="仿宋_GB2312"/>
                      <w:sz w:val="24"/>
                      <w:color w:val="000000"/>
                    </w:rPr>
                    <w:t>Continuous Multi Burst</w:t>
                  </w:r>
                  <w:r>
                    <w:rPr>
                      <w:rFonts w:ascii="仿宋_GB2312" w:hAnsi="仿宋_GB2312" w:cs="仿宋_GB2312" w:eastAsia="仿宋_GB2312"/>
                      <w:sz w:val="24"/>
                      <w:color w:val="000000"/>
                    </w:rPr>
                    <w:t>和</w:t>
                  </w:r>
                  <w:r>
                    <w:rPr>
                      <w:rFonts w:ascii="仿宋_GB2312" w:hAnsi="仿宋_GB2312" w:cs="仿宋_GB2312" w:eastAsia="仿宋_GB2312"/>
                      <w:sz w:val="24"/>
                      <w:color w:val="000000"/>
                    </w:rPr>
                    <w:t>Continuous</w:t>
                  </w:r>
                  <w:r>
                    <w:rPr>
                      <w:rFonts w:ascii="仿宋_GB2312" w:hAnsi="仿宋_GB2312" w:cs="仿宋_GB2312" w:eastAsia="仿宋_GB2312"/>
                      <w:sz w:val="24"/>
                      <w:color w:val="000000"/>
                    </w:rPr>
                    <w:t>等发包模式；</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.帧长类型：支持长度递增、递减、IMIX 和随机模式，可配置随机跳变初始值；</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.跳变器：400G端口每条流具有≥6个32位的跳变器，可应用在数据包中任意位置；</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.流量发送以太网帧长至少覆盖64～16000字节；</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.每端口支持≥512个StreamBlock，发送≥32K条流量和统计分析≥32K条流量，离散路由表总量≥1M</w:t>
                  </w:r>
                  <w:r>
                    <w:rPr>
                      <w:rFonts w:ascii="仿宋_GB2312" w:hAnsi="仿宋_GB2312" w:cs="仿宋_GB2312" w:eastAsia="仿宋_GB2312"/>
                      <w:sz w:val="24"/>
                      <w:color w:val="000000"/>
                    </w:rPr>
                    <w:t>*</w:t>
                  </w:r>
                  <w:r>
                    <w:rPr>
                      <w:rFonts w:ascii="仿宋_GB2312" w:hAnsi="仿宋_GB2312" w:cs="仿宋_GB2312" w:eastAsia="仿宋_GB2312"/>
                      <w:sz w:val="24"/>
                      <w:color w:val="000000"/>
                    </w:rPr>
                    <w:t>4Byte；</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.支持400Gbps线速抓包，支持过滤和模板匹配精准抓包，每端口抓包空间≥1MB；</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.支持发送和接收方向的流级bps、PPS、时延、抖动等统计功能，支持对全量统计进行排序和筛选，单页展示≥1000条统计视图；</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端口支持</w:t>
                  </w:r>
                  <w:r>
                    <w:rPr>
                      <w:rFonts w:ascii="仿宋_GB2312" w:hAnsi="仿宋_GB2312" w:cs="仿宋_GB2312" w:eastAsia="仿宋_GB2312"/>
                      <w:sz w:val="24"/>
                      <w:color w:val="000000"/>
                    </w:rPr>
                    <w:t>BGP 邻居数≥10000,单端口支持的OSPF 邻居数≥10000,单端口支持的ISIS 邻居数≥10000；</w:t>
                  </w:r>
                </w:p>
                <w:p>
                  <w:pPr>
                    <w:pStyle w:val="null3"/>
                    <w:jc w:val="both"/>
                  </w:pPr>
                  <w:r>
                    <w:rPr>
                      <w:rFonts w:ascii="仿宋_GB2312" w:hAnsi="仿宋_GB2312" w:cs="仿宋_GB2312" w:eastAsia="仿宋_GB2312"/>
                      <w:sz w:val="24"/>
                      <w:color w:val="000000"/>
                    </w:rPr>
                    <w:t>17.支</w:t>
                  </w:r>
                  <w:r>
                    <w:rPr>
                      <w:rFonts w:ascii="仿宋_GB2312" w:hAnsi="仿宋_GB2312" w:cs="仿宋_GB2312" w:eastAsia="仿宋_GB2312"/>
                      <w:sz w:val="24"/>
                      <w:color w:val="000000"/>
                    </w:rPr>
                    <w:t>持</w:t>
                  </w:r>
                  <w:r>
                    <w:rPr>
                      <w:rFonts w:ascii="仿宋_GB2312" w:hAnsi="仿宋_GB2312" w:cs="仿宋_GB2312" w:eastAsia="仿宋_GB2312"/>
                      <w:sz w:val="24"/>
                      <w:color w:val="000000"/>
                    </w:rPr>
                    <w:t>400G 线缆长度3米以上，无误码；</w:t>
                  </w:r>
                </w:p>
                <w:p>
                  <w:pPr>
                    <w:pStyle w:val="null3"/>
                    <w:jc w:val="both"/>
                  </w:pPr>
                  <w:r>
                    <w:rPr>
                      <w:rFonts w:ascii="仿宋_GB2312" w:hAnsi="仿宋_GB2312" w:cs="仿宋_GB2312" w:eastAsia="仿宋_GB2312"/>
                      <w:sz w:val="24"/>
                      <w:b/>
                      <w:color w:val="000000"/>
                    </w:rPr>
                    <w:t>四、智算网络测试</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.支持RoCEv2等协议，支持PFC和ECN等测试，支持DCQCN等流量降速算法，支持≥1024个 QP独立响应DCQCN；</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9</w:t>
                  </w:r>
                  <w:r>
                    <w:rPr>
                      <w:rFonts w:ascii="仿宋_GB2312" w:hAnsi="仿宋_GB2312" w:cs="仿宋_GB2312" w:eastAsia="仿宋_GB2312"/>
                      <w:sz w:val="24"/>
                      <w:color w:val="000000"/>
                    </w:rPr>
                    <w:t>.支持测试RoCE每秒新建QP会话速率，支持QP最大容量测试，每个端口支持RoCEv2 QP数量≥8000；</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.支持RoCEv2流量N打N读写的吞吐、时延、业务完成率等转发性能测试；</w:t>
                  </w:r>
                </w:p>
                <w:p>
                  <w:pPr>
                    <w:pStyle w:val="null3"/>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.支持RoCEv2攻击测试，至少包括NAK攻击、QP新建攻击等；</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.支持RDMA ACK交互及报文Go Back N丢包重传；</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.支持RDMA 异常测试，支持Write接收越界测试、PMTU不匹配测试、目的QPN错误测试、R_Key错误测试、VA地址错误测试等；</w:t>
                  </w:r>
                </w:p>
                <w:p>
                  <w:pPr>
                    <w:pStyle w:val="null3"/>
                    <w:jc w:val="both"/>
                  </w:pPr>
                  <w:r>
                    <w:rPr>
                      <w:rFonts w:ascii="仿宋_GB2312" w:hAnsi="仿宋_GB2312" w:cs="仿宋_GB2312" w:eastAsia="仿宋_GB2312"/>
                      <w:sz w:val="24"/>
                      <w:b/>
                      <w:color w:val="000000"/>
                    </w:rPr>
                    <w:t>五、集合通信仿真要求</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.支持CCL集合通讯测试模型，支持≥32种算子算法组合，支持ALLReduce、Alltoall、Broadcast、ReduceScatter、AllGather、Reduce、Scatter集合通信原语等，支持RHD、NHR、DBT、Ring、Pipeline等集合通信算法；</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.支持端口高精度采样，采样时间精度≤1us，采样点≥100000个；</w:t>
                  </w:r>
                </w:p>
                <w:p>
                  <w:pPr>
                    <w:pStyle w:val="null3"/>
                    <w:jc w:val="both"/>
                  </w:pPr>
                  <w:r>
                    <w:rPr>
                      <w:rFonts w:ascii="仿宋_GB2312" w:hAnsi="仿宋_GB2312" w:cs="仿宋_GB2312" w:eastAsia="仿宋_GB2312"/>
                      <w:sz w:val="24"/>
                      <w:color w:val="000000"/>
                    </w:rPr>
                    <w:t>26.</w:t>
                  </w:r>
                  <w:r>
                    <w:rPr>
                      <w:rFonts w:ascii="仿宋_GB2312" w:hAnsi="仿宋_GB2312" w:cs="仿宋_GB2312" w:eastAsia="仿宋_GB2312"/>
                      <w:sz w:val="24"/>
                      <w:color w:val="000000"/>
                    </w:rPr>
                    <w:t>采样计数器包括：接收报文速率、接收报文数量、发送报文速率、发送报文数量、</w:t>
                  </w:r>
                  <w:r>
                    <w:rPr>
                      <w:rFonts w:ascii="仿宋_GB2312" w:hAnsi="仿宋_GB2312" w:cs="仿宋_GB2312" w:eastAsia="仿宋_GB2312"/>
                      <w:sz w:val="24"/>
                      <w:color w:val="000000"/>
                    </w:rPr>
                    <w:t>PFC接收报文数量、PFC报文接收速率；</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7</w:t>
                  </w:r>
                  <w:r>
                    <w:rPr>
                      <w:rFonts w:ascii="仿宋_GB2312" w:hAnsi="仿宋_GB2312" w:cs="仿宋_GB2312" w:eastAsia="仿宋_GB2312"/>
                      <w:sz w:val="24"/>
                      <w:color w:val="000000"/>
                    </w:rPr>
                    <w:t>.支持设置固定的GPU计算时间，时间精度≤100us；</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8</w:t>
                  </w:r>
                  <w:r>
                    <w:rPr>
                      <w:rFonts w:ascii="仿宋_GB2312" w:hAnsi="仿宋_GB2312" w:cs="仿宋_GB2312" w:eastAsia="仿宋_GB2312"/>
                      <w:sz w:val="24"/>
                      <w:color w:val="000000"/>
                    </w:rPr>
                    <w:t>.支持根据GPU收到的数据长度设置GPU计算时间，时间精度≤100ns/KB；</w:t>
                  </w:r>
                </w:p>
                <w:p>
                  <w:pPr>
                    <w:pStyle w:val="null3"/>
                    <w:jc w:val="both"/>
                  </w:pPr>
                  <w:r>
                    <w:rPr>
                      <w:rFonts w:ascii="仿宋_GB2312" w:hAnsi="仿宋_GB2312" w:cs="仿宋_GB2312" w:eastAsia="仿宋_GB2312"/>
                      <w:sz w:val="24"/>
                      <w:b/>
                      <w:color w:val="000000"/>
                    </w:rPr>
                    <w:t>六、应用层协议仿真</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9</w:t>
                  </w:r>
                  <w:r>
                    <w:rPr>
                      <w:rFonts w:ascii="仿宋_GB2312" w:hAnsi="仿宋_GB2312" w:cs="仿宋_GB2312" w:eastAsia="仿宋_GB2312"/>
                      <w:sz w:val="24"/>
                      <w:color w:val="000000"/>
                    </w:rPr>
                    <w:t>.≥35种协议仿真，至少包括HTTP、HTTPS、HTTP2、HTTP3、RTSP、RTP、RTCP、RTMP、HLS、SMTP、SMTPS、MySQL、FTP、SSH、TFTP、DNS、SIP等；</w:t>
                  </w:r>
                </w:p>
                <w:p>
                  <w:pPr>
                    <w:pStyle w:val="null3"/>
                    <w:jc w:val="both"/>
                  </w:pPr>
                  <w:r>
                    <w:rPr>
                      <w:rFonts w:ascii="仿宋_GB2312" w:hAnsi="仿宋_GB2312" w:cs="仿宋_GB2312" w:eastAsia="仿宋_GB2312"/>
                      <w:sz w:val="24"/>
                      <w:color w:val="000000"/>
                    </w:rPr>
                    <w:t>30</w:t>
                  </w:r>
                  <w:r>
                    <w:rPr>
                      <w:rFonts w:ascii="仿宋_GB2312" w:hAnsi="仿宋_GB2312" w:cs="仿宋_GB2312" w:eastAsia="仿宋_GB2312"/>
                      <w:sz w:val="24"/>
                      <w:color w:val="000000"/>
                    </w:rPr>
                    <w:t>.HTTP每秒新建会话≥190万，HTTP最大并发会话≥</w:t>
                  </w:r>
                  <w:r>
                    <w:rPr>
                      <w:rFonts w:ascii="仿宋_GB2312" w:hAnsi="仿宋_GB2312" w:cs="仿宋_GB2312" w:eastAsia="仿宋_GB2312"/>
                      <w:sz w:val="24"/>
                      <w:color w:val="000000"/>
                    </w:rPr>
                    <w:t>4000万</w:t>
                  </w:r>
                  <w:r>
                    <w:rPr>
                      <w:rFonts w:ascii="仿宋_GB2312" w:hAnsi="仿宋_GB2312" w:cs="仿宋_GB2312" w:eastAsia="仿宋_GB2312"/>
                      <w:sz w:val="24"/>
                      <w:color w:val="000000"/>
                    </w:rPr>
                    <w:t>，</w:t>
                  </w:r>
                  <w:r>
                    <w:rPr>
                      <w:rFonts w:ascii="仿宋_GB2312" w:hAnsi="仿宋_GB2312" w:cs="仿宋_GB2312" w:eastAsia="仿宋_GB2312"/>
                      <w:sz w:val="24"/>
                      <w:color w:val="000000"/>
                    </w:rPr>
                    <w:t>HTTP最大吞吐速率（单向）≥300G，HTTPS每秒新建会话≥7万；</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.HTTP新建测试模式包括用户模式、叠加模式、延迟响应模式以及强打模式等；</w:t>
                  </w:r>
                </w:p>
                <w:p>
                  <w:pPr>
                    <w:pStyle w:val="null3"/>
                    <w:jc w:val="both"/>
                  </w:pPr>
                  <w:r>
                    <w:rPr>
                      <w:rFonts w:ascii="仿宋_GB2312" w:hAnsi="仿宋_GB2312" w:cs="仿宋_GB2312" w:eastAsia="仿宋_GB2312"/>
                      <w:sz w:val="24"/>
                      <w:color w:val="000000"/>
                    </w:rPr>
                    <w:t>32</w:t>
                  </w:r>
                  <w:r>
                    <w:rPr>
                      <w:rFonts w:ascii="仿宋_GB2312" w:hAnsi="仿宋_GB2312" w:cs="仿宋_GB2312" w:eastAsia="仿宋_GB2312"/>
                      <w:sz w:val="24"/>
                      <w:color w:val="000000"/>
                    </w:rPr>
                    <w:t>.支持混合攻击和正常流量，生成与现实流量特征一致的流量模型，检测受测设备是否能判断DDoS流量或和合法协议流量；</w:t>
                  </w:r>
                </w:p>
                <w:p>
                  <w:pPr>
                    <w:pStyle w:val="null3"/>
                    <w:jc w:val="both"/>
                  </w:pPr>
                  <w:r>
                    <w:rPr>
                      <w:rFonts w:ascii="仿宋_GB2312" w:hAnsi="仿宋_GB2312" w:cs="仿宋_GB2312" w:eastAsia="仿宋_GB2312"/>
                      <w:sz w:val="24"/>
                      <w:b/>
                      <w:color w:val="000000"/>
                    </w:rPr>
                    <w:t>七、加密算法支持</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.支持多种SSL版本：SSLv3、TLSv1.0、TLSv1.1、TLSv1.2、TLSv1.3、国密v1.1等；</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.支持国密算法套件，至少包括ECC-SM4-SM3、ECDHE-SM2-SM4-CBC-SM等；</w:t>
                  </w:r>
                </w:p>
                <w:p>
                  <w:pPr>
                    <w:pStyle w:val="null3"/>
                    <w:jc w:val="both"/>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Web业务应用模拟测试</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.支持模拟完整的事务和会话，可自动获取和保存cookie，完成登录认证和会话保持；</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r>
                    <w:rPr>
                      <w:rFonts w:ascii="仿宋_GB2312" w:hAnsi="仿宋_GB2312" w:cs="仿宋_GB2312" w:eastAsia="仿宋_GB2312"/>
                      <w:sz w:val="24"/>
                      <w:color w:val="000000"/>
                    </w:rPr>
                    <w:t>.支持从csv格式的文件中，导入大量的变量，调用时每个虚拟用户进行替换；</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r>
                    <w:rPr>
                      <w:rFonts w:ascii="仿宋_GB2312" w:hAnsi="仿宋_GB2312" w:cs="仿宋_GB2312" w:eastAsia="仿宋_GB2312"/>
                      <w:sz w:val="24"/>
                      <w:color w:val="000000"/>
                    </w:rPr>
                    <w:t>.支持在响应中使用断言；</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8</w:t>
                  </w:r>
                  <w:r>
                    <w:rPr>
                      <w:rFonts w:ascii="仿宋_GB2312" w:hAnsi="仿宋_GB2312" w:cs="仿宋_GB2312" w:eastAsia="仿宋_GB2312"/>
                      <w:sz w:val="24"/>
                      <w:color w:val="000000"/>
                    </w:rPr>
                    <w:t>.支持上传HAR文件和PCAP等文件解析应用业务流程；</w:t>
                  </w:r>
                </w:p>
                <w:p>
                  <w:pPr>
                    <w:pStyle w:val="null3"/>
                    <w:jc w:val="both"/>
                  </w:pPr>
                  <w:r>
                    <w:rPr>
                      <w:rFonts w:ascii="仿宋_GB2312" w:hAnsi="仿宋_GB2312" w:cs="仿宋_GB2312" w:eastAsia="仿宋_GB2312"/>
                      <w:sz w:val="24"/>
                      <w:b/>
                      <w:color w:val="000000"/>
                    </w:rPr>
                    <w:t>九、安全场景测试</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9</w:t>
                  </w:r>
                  <w:r>
                    <w:rPr>
                      <w:rFonts w:ascii="仿宋_GB2312" w:hAnsi="仿宋_GB2312" w:cs="仿宋_GB2312" w:eastAsia="仿宋_GB2312"/>
                      <w:sz w:val="24"/>
                      <w:color w:val="000000"/>
                    </w:rPr>
                    <w:t>.DDoS单包攻击类型≥70种，会话攻击类型≥10种；</w:t>
                  </w:r>
                </w:p>
                <w:p>
                  <w:pPr>
                    <w:pStyle w:val="null3"/>
                    <w:jc w:val="both"/>
                  </w:pPr>
                  <w:r>
                    <w:rPr>
                      <w:rFonts w:ascii="仿宋_GB2312" w:hAnsi="仿宋_GB2312" w:cs="仿宋_GB2312" w:eastAsia="仿宋_GB2312"/>
                      <w:sz w:val="24"/>
                      <w:color w:val="000000"/>
                    </w:rPr>
                    <w:t>40</w:t>
                  </w:r>
                  <w:r>
                    <w:rPr>
                      <w:rFonts w:ascii="仿宋_GB2312" w:hAnsi="仿宋_GB2312" w:cs="仿宋_GB2312" w:eastAsia="仿宋_GB2312"/>
                      <w:sz w:val="24"/>
                      <w:color w:val="000000"/>
                    </w:rPr>
                    <w:t>.提供漏洞库，≥13万个漏洞；</w:t>
                  </w:r>
                </w:p>
                <w:p>
                  <w:pPr>
                    <w:pStyle w:val="null3"/>
                    <w:jc w:val="both"/>
                  </w:pPr>
                  <w:r>
                    <w:rPr>
                      <w:rFonts w:ascii="仿宋_GB2312" w:hAnsi="仿宋_GB2312" w:cs="仿宋_GB2312" w:eastAsia="仿宋_GB2312"/>
                      <w:sz w:val="24"/>
                      <w:color w:val="000000"/>
                    </w:rPr>
                    <w:t>41</w:t>
                  </w:r>
                  <w:r>
                    <w:rPr>
                      <w:rFonts w:ascii="仿宋_GB2312" w:hAnsi="仿宋_GB2312" w:cs="仿宋_GB2312" w:eastAsia="仿宋_GB2312"/>
                      <w:sz w:val="24"/>
                      <w:color w:val="000000"/>
                    </w:rPr>
                    <w:t>.支持场景攻击≥1万个；</w:t>
                  </w:r>
                </w:p>
                <w:p>
                  <w:pPr>
                    <w:pStyle w:val="null3"/>
                    <w:jc w:val="both"/>
                  </w:pPr>
                  <w:r>
                    <w:rPr>
                      <w:rFonts w:ascii="仿宋_GB2312" w:hAnsi="仿宋_GB2312" w:cs="仿宋_GB2312" w:eastAsia="仿宋_GB2312"/>
                      <w:sz w:val="24"/>
                      <w:color w:val="000000"/>
                    </w:rPr>
                    <w:t>42</w:t>
                  </w:r>
                  <w:r>
                    <w:rPr>
                      <w:rFonts w:ascii="仿宋_GB2312" w:hAnsi="仿宋_GB2312" w:cs="仿宋_GB2312" w:eastAsia="仿宋_GB2312"/>
                      <w:sz w:val="24"/>
                      <w:color w:val="000000"/>
                    </w:rPr>
                    <w:t>.应用场景≥3万个，包括Android、iOS、Liunx、Windows、PC和移动平台应用；</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r>
                    <w:rPr>
                      <w:rFonts w:ascii="仿宋_GB2312" w:hAnsi="仿宋_GB2312" w:cs="仿宋_GB2312" w:eastAsia="仿宋_GB2312"/>
                      <w:sz w:val="24"/>
                      <w:color w:val="000000"/>
                    </w:rPr>
                    <w:t>.恶意软件≥10万个，包括木马、后门、蠕虫、间谍软件、僵尸网络等类型；</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r>
                    <w:rPr>
                      <w:rFonts w:ascii="仿宋_GB2312" w:hAnsi="仿宋_GB2312" w:cs="仿宋_GB2312" w:eastAsia="仿宋_GB2312"/>
                      <w:sz w:val="24"/>
                      <w:color w:val="000000"/>
                    </w:rPr>
                    <w:t>.针对不同协议或服务进行模糊测试，至少支持HTTP、HTTPS、RoCE、MySQL等；</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网络测试平台驱动软件</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1.界面布局提供至少包含：工具栏、按钮区、导航区、配置区、调测区等区域；</w:t>
                  </w:r>
                </w:p>
                <w:p>
                  <w:pPr>
                    <w:pStyle w:val="null3"/>
                    <w:jc w:val="both"/>
                  </w:pPr>
                  <w:r>
                    <w:rPr>
                      <w:rFonts w:ascii="仿宋_GB2312" w:hAnsi="仿宋_GB2312" w:cs="仿宋_GB2312" w:eastAsia="仿宋_GB2312"/>
                      <w:sz w:val="24"/>
                      <w:color w:val="000000"/>
                    </w:rPr>
                    <w:t>2.支持许可证注册、状态查询和软件升级；</w:t>
                  </w:r>
                </w:p>
                <w:p>
                  <w:pPr>
                    <w:pStyle w:val="null3"/>
                    <w:jc w:val="both"/>
                  </w:pPr>
                  <w:r>
                    <w:rPr>
                      <w:rFonts w:ascii="仿宋_GB2312" w:hAnsi="仿宋_GB2312" w:cs="仿宋_GB2312" w:eastAsia="仿宋_GB2312"/>
                      <w:sz w:val="24"/>
                      <w:color w:val="000000"/>
                    </w:rPr>
                    <w:t>▲3.机框和测试板卡不同IP地址，支持分别修改机框和测试板卡 IP 地址；</w:t>
                  </w:r>
                </w:p>
                <w:p>
                  <w:pPr>
                    <w:pStyle w:val="null3"/>
                    <w:jc w:val="both"/>
                  </w:pPr>
                  <w:r>
                    <w:rPr>
                      <w:rFonts w:ascii="仿宋_GB2312" w:hAnsi="仿宋_GB2312" w:cs="仿宋_GB2312" w:eastAsia="仿宋_GB2312"/>
                      <w:sz w:val="24"/>
                      <w:color w:val="000000"/>
                    </w:rPr>
                    <w:t>4.支持查看测试板卡信息及状态；</w:t>
                  </w:r>
                </w:p>
                <w:p>
                  <w:pPr>
                    <w:pStyle w:val="null3"/>
                    <w:jc w:val="both"/>
                  </w:pPr>
                  <w:r>
                    <w:rPr>
                      <w:rFonts w:ascii="仿宋_GB2312" w:hAnsi="仿宋_GB2312" w:cs="仿宋_GB2312" w:eastAsia="仿宋_GB2312"/>
                      <w:sz w:val="24"/>
                      <w:color w:val="000000"/>
                    </w:rPr>
                    <w:t>5.支持新建测试配置文件。</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400G网络损伤仪</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7"/>
                  </w:pPr>
                  <w:r>
                    <w:rPr>
                      <w:rFonts w:ascii="仿宋_GB2312" w:hAnsi="仿宋_GB2312" w:cs="仿宋_GB2312" w:eastAsia="仿宋_GB2312"/>
                      <w:sz w:val="24"/>
                      <w:color w:val="000000"/>
                    </w:rPr>
                    <w:t>★1.仪表支持400G和100G测试接口，提供≥2个400G以太网接口、和≥2个100G以太网接口；</w:t>
                  </w:r>
                </w:p>
                <w:p>
                  <w:pPr>
                    <w:pStyle w:val="null3"/>
                    <w:ind w:firstLine="7"/>
                  </w:pPr>
                  <w:r>
                    <w:rPr>
                      <w:rFonts w:ascii="仿宋_GB2312" w:hAnsi="仿宋_GB2312" w:cs="仿宋_GB2312" w:eastAsia="仿宋_GB2312"/>
                      <w:sz w:val="24"/>
                      <w:color w:val="000000"/>
                    </w:rPr>
                    <w:t>▲2.仪表支持≥4路的输入流量选路转发功能，可模拟流量多到1的流量切换；</w:t>
                  </w:r>
                </w:p>
                <w:p>
                  <w:pPr>
                    <w:pStyle w:val="null3"/>
                    <w:ind w:firstLine="7"/>
                  </w:pPr>
                  <w:r>
                    <w:rPr>
                      <w:rFonts w:ascii="仿宋_GB2312" w:hAnsi="仿宋_GB2312" w:cs="仿宋_GB2312" w:eastAsia="仿宋_GB2312"/>
                      <w:sz w:val="24"/>
                      <w:color w:val="000000"/>
                    </w:rPr>
                    <w:t>3. 仪表支持≥4路的输出流量选路转发功能，可模拟流量1到多的流量切换；</w:t>
                  </w:r>
                </w:p>
                <w:p>
                  <w:pPr>
                    <w:pStyle w:val="null3"/>
                    <w:ind w:firstLine="7"/>
                  </w:pPr>
                  <w:r>
                    <w:rPr>
                      <w:rFonts w:ascii="仿宋_GB2312" w:hAnsi="仿宋_GB2312" w:cs="仿宋_GB2312" w:eastAsia="仿宋_GB2312"/>
                      <w:sz w:val="24"/>
                      <w:color w:val="000000"/>
                    </w:rPr>
                    <w:t>4.仪表支持流量合并功能，可以对多个流量进行合并后从一路转发；</w:t>
                  </w:r>
                </w:p>
                <w:p>
                  <w:pPr>
                    <w:pStyle w:val="null3"/>
                    <w:ind w:firstLine="7"/>
                  </w:pPr>
                  <w:r>
                    <w:rPr>
                      <w:rFonts w:ascii="仿宋_GB2312" w:hAnsi="仿宋_GB2312" w:cs="仿宋_GB2312" w:eastAsia="仿宋_GB2312"/>
                      <w:sz w:val="24"/>
                      <w:color w:val="000000"/>
                    </w:rPr>
                    <w:t>▲5. 仪表支持流过滤器，包括包数量、TCP、UDP、Mac address、Ethernet Payload、IP Address、IP Protocol、VLAN、MPLS、DSCP、Output Switching、Input Switching等；</w:t>
                  </w:r>
                </w:p>
                <w:p>
                  <w:pPr>
                    <w:pStyle w:val="null3"/>
                    <w:ind w:firstLine="7"/>
                  </w:pPr>
                  <w:r>
                    <w:rPr>
                      <w:rFonts w:ascii="仿宋_GB2312" w:hAnsi="仿宋_GB2312" w:cs="仿宋_GB2312" w:eastAsia="仿宋_GB2312"/>
                      <w:sz w:val="24"/>
                      <w:color w:val="000000"/>
                    </w:rPr>
                    <w:t>6.</w:t>
                  </w:r>
                  <w:r>
                    <w:rPr>
                      <w:rFonts w:ascii="仿宋_GB2312" w:hAnsi="仿宋_GB2312" w:cs="仿宋_GB2312" w:eastAsia="仿宋_GB2312"/>
                      <w:sz w:val="24"/>
                      <w:color w:val="000000"/>
                    </w:rPr>
                    <w:t>仪表支持</w:t>
                  </w:r>
                  <w:r>
                    <w:rPr>
                      <w:rFonts w:ascii="仿宋_GB2312" w:hAnsi="仿宋_GB2312" w:cs="仿宋_GB2312" w:eastAsia="仿宋_GB2312"/>
                      <w:sz w:val="24"/>
                      <w:color w:val="000000"/>
                    </w:rPr>
                    <w:t>ROCEv2相关的报文过滤功能，GUI上可以直接支持OpCode、QP等过滤字段选择和设置；</w:t>
                  </w:r>
                </w:p>
                <w:p>
                  <w:pPr>
                    <w:pStyle w:val="null3"/>
                    <w:ind w:firstLine="7"/>
                  </w:pPr>
                  <w:r>
                    <w:rPr>
                      <w:rFonts w:ascii="仿宋_GB2312" w:hAnsi="仿宋_GB2312" w:cs="仿宋_GB2312" w:eastAsia="仿宋_GB2312"/>
                      <w:sz w:val="24"/>
                      <w:color w:val="000000"/>
                    </w:rPr>
                    <w:t>▲7.仪表支持时延及抖动损伤的加载，报文时延抖动加载支持阶跃、高斯、正弦、均匀分布模型的报文时延抖动模型，并可以设置周期性的上述模型；</w:t>
                  </w:r>
                </w:p>
                <w:p>
                  <w:pPr>
                    <w:pStyle w:val="null3"/>
                    <w:ind w:firstLine="7"/>
                  </w:pPr>
                  <w:r>
                    <w:rPr>
                      <w:rFonts w:ascii="仿宋_GB2312" w:hAnsi="仿宋_GB2312" w:cs="仿宋_GB2312" w:eastAsia="仿宋_GB2312"/>
                      <w:sz w:val="24"/>
                      <w:color w:val="000000"/>
                    </w:rPr>
                    <w:t>8.仪表支持各速率端口支持按照特定比例的平均丢包、突发连续丢包和马尔可夫二阶随机丢包（根据 ITU-T G.1050 附录 II - Gilbert-Elliott 模型），并支持周期性设置；</w:t>
                  </w:r>
                </w:p>
                <w:p>
                  <w:pPr>
                    <w:pStyle w:val="null3"/>
                    <w:ind w:firstLine="7"/>
                  </w:pPr>
                  <w:r>
                    <w:rPr>
                      <w:rFonts w:ascii="仿宋_GB2312" w:hAnsi="仿宋_GB2312" w:cs="仿宋_GB2312" w:eastAsia="仿宋_GB2312"/>
                      <w:sz w:val="24"/>
                      <w:color w:val="000000"/>
                    </w:rPr>
                    <w:t>9.仪表支持周期性进行时延、抖动和丢包的周期性配置，周期可配置范围从0.01ms～360秒;</w:t>
                  </w:r>
                </w:p>
                <w:p>
                  <w:pPr>
                    <w:pStyle w:val="null3"/>
                    <w:ind w:firstLine="7"/>
                  </w:pPr>
                  <w:r>
                    <w:rPr>
                      <w:rFonts w:ascii="仿宋_GB2312" w:hAnsi="仿宋_GB2312" w:cs="仿宋_GB2312" w:eastAsia="仿宋_GB2312"/>
                      <w:sz w:val="24"/>
                      <w:color w:val="000000"/>
                    </w:rPr>
                    <w:t>▲10.仪表支持模拟以太网分片，配置范围至少覆盖68～9000字节；</w:t>
                  </w:r>
                </w:p>
                <w:p>
                  <w:pPr>
                    <w:pStyle w:val="null3"/>
                    <w:ind w:firstLine="7"/>
                  </w:pPr>
                  <w:r>
                    <w:rPr>
                      <w:rFonts w:ascii="仿宋_GB2312" w:hAnsi="仿宋_GB2312" w:cs="仿宋_GB2312" w:eastAsia="仿宋_GB2312"/>
                      <w:sz w:val="24"/>
                      <w:color w:val="000000"/>
                    </w:rPr>
                    <w:t>11.仪表支持按照百分比进行报文乱序，包括基于报文位置的乱序深度配置，最大可配置位置≥10000；基于时间的乱序深度配置，最大时间≥500ms；</w:t>
                  </w:r>
                </w:p>
                <w:p>
                  <w:pPr>
                    <w:pStyle w:val="null3"/>
                    <w:ind w:firstLine="7"/>
                  </w:pPr>
                  <w:r>
                    <w:rPr>
                      <w:rFonts w:ascii="仿宋_GB2312" w:hAnsi="仿宋_GB2312" w:cs="仿宋_GB2312" w:eastAsia="仿宋_GB2312"/>
                      <w:sz w:val="24"/>
                      <w:color w:val="000000"/>
                    </w:rPr>
                    <w:t>12.仪表支持构造Bit误码，误码率可配置1E0到1E-14之间；</w:t>
                  </w:r>
                </w:p>
                <w:p>
                  <w:pPr>
                    <w:pStyle w:val="null3"/>
                    <w:ind w:firstLine="7"/>
                  </w:pPr>
                  <w:r>
                    <w:rPr>
                      <w:rFonts w:ascii="仿宋_GB2312" w:hAnsi="仿宋_GB2312" w:cs="仿宋_GB2312" w:eastAsia="仿宋_GB2312"/>
                      <w:sz w:val="24"/>
                      <w:color w:val="000000"/>
                    </w:rPr>
                    <w:t>13.仪表支持重复包，包括简单的1:1复制和≥5次以上的重复包功能，并可以设置重复以后的报文间隔一段时间发出，时间可配置范围从1ms～10000ms；</w:t>
                  </w:r>
                </w:p>
                <w:p>
                  <w:pPr>
                    <w:pStyle w:val="null3"/>
                    <w:ind w:firstLine="7"/>
                  </w:pPr>
                  <w:r>
                    <w:rPr>
                      <w:rFonts w:ascii="仿宋_GB2312" w:hAnsi="仿宋_GB2312" w:cs="仿宋_GB2312" w:eastAsia="仿宋_GB2312"/>
                      <w:sz w:val="24"/>
                      <w:color w:val="000000"/>
                    </w:rPr>
                    <w:t>▲14.仪表支持多种模式的带宽限速，包括固定带宽和随机带宽的设定；</w:t>
                  </w:r>
                </w:p>
                <w:p>
                  <w:pPr>
                    <w:pStyle w:val="null3"/>
                    <w:ind w:firstLine="7"/>
                  </w:pPr>
                  <w:r>
                    <w:rPr>
                      <w:rFonts w:ascii="仿宋_GB2312" w:hAnsi="仿宋_GB2312" w:cs="仿宋_GB2312" w:eastAsia="仿宋_GB2312"/>
                      <w:sz w:val="24"/>
                      <w:color w:val="000000"/>
                    </w:rPr>
                    <w:t>15.仪表支持流量抓取和回放功能，且仪表掉电以后，文件不会丢失；</w:t>
                  </w:r>
                </w:p>
                <w:p>
                  <w:pPr>
                    <w:pStyle w:val="null3"/>
                    <w:ind w:firstLine="7"/>
                  </w:pPr>
                  <w:r>
                    <w:rPr>
                      <w:rFonts w:ascii="仿宋_GB2312" w:hAnsi="仿宋_GB2312" w:cs="仿宋_GB2312" w:eastAsia="仿宋_GB2312"/>
                      <w:sz w:val="24"/>
                      <w:color w:val="000000"/>
                    </w:rPr>
                    <w:t>16.仪表支持Web图形化用户界面操作和控制，支持多用户场景，不同用户支持同时占用不同端口，并行测试；</w:t>
                  </w:r>
                </w:p>
                <w:p>
                  <w:pPr>
                    <w:pStyle w:val="null3"/>
                    <w:ind w:firstLine="7"/>
                  </w:pPr>
                  <w:r>
                    <w:rPr>
                      <w:rFonts w:ascii="仿宋_GB2312" w:hAnsi="仿宋_GB2312" w:cs="仿宋_GB2312" w:eastAsia="仿宋_GB2312"/>
                      <w:sz w:val="24"/>
                      <w:color w:val="000000"/>
                    </w:rPr>
                    <w:t>17.仪表支持外部标识节点，可以模拟PC、cloud、Router、Switch、</w:t>
                  </w:r>
                  <w:r>
                    <w:rPr>
                      <w:rFonts w:ascii="仿宋_GB2312" w:hAnsi="仿宋_GB2312" w:cs="仿宋_GB2312" w:eastAsia="仿宋_GB2312"/>
                      <w:sz w:val="24"/>
                      <w:color w:val="000000"/>
                    </w:rPr>
                    <w:t>Satellite</w:t>
                  </w:r>
                  <w:r>
                    <w:rPr>
                      <w:rFonts w:ascii="仿宋_GB2312" w:hAnsi="仿宋_GB2312" w:cs="仿宋_GB2312" w:eastAsia="仿宋_GB2312"/>
                      <w:sz w:val="24"/>
                      <w:color w:val="000000"/>
                    </w:rPr>
                    <w:t>等网络节点；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高性能网络硬件支撑环境</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一、交换机</w:t>
                  </w:r>
                </w:p>
                <w:p>
                  <w:pPr>
                    <w:pStyle w:val="null3"/>
                    <w:jc w:val="both"/>
                  </w:pPr>
                  <w:r>
                    <w:rPr>
                      <w:rFonts w:ascii="仿宋_GB2312" w:hAnsi="仿宋_GB2312" w:cs="仿宋_GB2312" w:eastAsia="仿宋_GB2312"/>
                      <w:sz w:val="24"/>
                      <w:color w:val="000000"/>
                    </w:rPr>
                    <w:t>1.提供1台400G RoCE交换机；</w:t>
                  </w:r>
                </w:p>
                <w:p>
                  <w:pPr>
                    <w:pStyle w:val="null3"/>
                    <w:jc w:val="both"/>
                  </w:pPr>
                  <w:r>
                    <w:rPr>
                      <w:rFonts w:ascii="仿宋_GB2312" w:hAnsi="仿宋_GB2312" w:cs="仿宋_GB2312" w:eastAsia="仿宋_GB2312"/>
                      <w:sz w:val="24"/>
                      <w:color w:val="000000"/>
                    </w:rPr>
                    <w:t>2.芯片支持≥12.8T的转发能力，包转发速率≥8.4Bpps；支持≥32x400G QSFP-DD接口；RoCE支持：RoCE配置，RoCE over VXLAN；支持芯片级telemetry能力，监控报文丢弃，以及buffer拥塞和丢弃；1U机架式设备，功耗≤650W。</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AI网卡</w:t>
                  </w:r>
                </w:p>
                <w:p>
                  <w:pPr>
                    <w:pStyle w:val="null3"/>
                    <w:jc w:val="both"/>
                  </w:pPr>
                  <w:r>
                    <w:rPr>
                      <w:rFonts w:ascii="仿宋_GB2312" w:hAnsi="仿宋_GB2312" w:cs="仿宋_GB2312" w:eastAsia="仿宋_GB2312"/>
                      <w:sz w:val="24"/>
                      <w:color w:val="000000"/>
                    </w:rPr>
                    <w:t>1.提供≥2张AI网卡；</w:t>
                  </w:r>
                </w:p>
                <w:p>
                  <w:pPr>
                    <w:pStyle w:val="null3"/>
                    <w:jc w:val="both"/>
                  </w:pPr>
                  <w:r>
                    <w:rPr>
                      <w:rFonts w:ascii="仿宋_GB2312" w:hAnsi="仿宋_GB2312" w:cs="仿宋_GB2312" w:eastAsia="仿宋_GB2312"/>
                      <w:sz w:val="24"/>
                      <w:color w:val="000000"/>
                    </w:rPr>
                    <w:t>2.支持400G OSFP112的线路侧接口；支持PCIe Gen5x16的host接口；与交换机协同构建RoCE组网，支持IB组网；半包半长单宽，功耗≤75W。</w:t>
                  </w:r>
                </w:p>
                <w:p>
                  <w:pPr>
                    <w:pStyle w:val="null3"/>
                    <w:jc w:val="both"/>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DPU卡</w:t>
                  </w:r>
                </w:p>
                <w:p>
                  <w:pPr>
                    <w:pStyle w:val="null3"/>
                    <w:jc w:val="both"/>
                  </w:pPr>
                  <w:r>
                    <w:rPr>
                      <w:rFonts w:ascii="仿宋_GB2312" w:hAnsi="仿宋_GB2312" w:cs="仿宋_GB2312" w:eastAsia="仿宋_GB2312"/>
                      <w:sz w:val="24"/>
                      <w:color w:val="000000"/>
                    </w:rPr>
                    <w:t>1.提供≥1张DPU卡；</w:t>
                  </w:r>
                </w:p>
                <w:p>
                  <w:pPr>
                    <w:pStyle w:val="null3"/>
                    <w:jc w:val="both"/>
                  </w:pPr>
                  <w:r>
                    <w:rPr>
                      <w:rFonts w:ascii="仿宋_GB2312" w:hAnsi="仿宋_GB2312" w:cs="仿宋_GB2312" w:eastAsia="仿宋_GB2312"/>
                      <w:sz w:val="24"/>
                      <w:color w:val="000000"/>
                    </w:rPr>
                    <w:t>2.支持400G QSFP112的线路侧接口；支持PCIe Gen5x16的host接口；与交换机协同构建RoCE组网，支持IB组网；支持≥8个ARM Cores，≥16GB DDR5 5200MT/s；支持BMC；半高半长单宽，功耗≤75W。</w:t>
                  </w:r>
                </w:p>
                <w:p>
                  <w:pPr>
                    <w:pStyle w:val="null3"/>
                    <w:jc w:val="both"/>
                  </w:pPr>
                  <w:r>
                    <w:rPr>
                      <w:rFonts w:ascii="仿宋_GB2312" w:hAnsi="仿宋_GB2312" w:cs="仿宋_GB2312" w:eastAsia="仿宋_GB2312"/>
                      <w:sz w:val="24"/>
                      <w:b/>
                      <w:color w:val="000000"/>
                    </w:rPr>
                    <w:t>四、光模块</w:t>
                  </w:r>
                </w:p>
                <w:p>
                  <w:pPr>
                    <w:pStyle w:val="null3"/>
                    <w:jc w:val="both"/>
                  </w:pPr>
                  <w:r>
                    <w:rPr>
                      <w:rFonts w:ascii="仿宋_GB2312" w:hAnsi="仿宋_GB2312" w:cs="仿宋_GB2312" w:eastAsia="仿宋_GB2312"/>
                      <w:sz w:val="24"/>
                      <w:color w:val="000000"/>
                    </w:rPr>
                    <w:t>1.提供OSFP112-400GE-DR4-MPO≥3个，要求不低于以下配置：模块速率标准：400G OSFP112 DR4收发一体；接口：MPO-12 APC接口；光口：4x106.25Gbps；电口：4x106.25Gbps；传输距离：500m over SMF。</w:t>
                  </w:r>
                </w:p>
                <w:p>
                  <w:pPr>
                    <w:pStyle w:val="null3"/>
                    <w:jc w:val="both"/>
                  </w:pPr>
                  <w:r>
                    <w:rPr>
                      <w:rFonts w:ascii="仿宋_GB2312" w:hAnsi="仿宋_GB2312" w:cs="仿宋_GB2312" w:eastAsia="仿宋_GB2312"/>
                      <w:sz w:val="24"/>
                      <w:color w:val="000000"/>
                    </w:rPr>
                    <w:t>2.提供QSFP112-400GE-DR4-MPO≥4个，要求不低于以下配置：模块速率标准：400G QSFP112 DR4收发一体；接口：MPO-12 APC接口；光口：4x106.25Gbps；电口：4x106.25Gbps；传输距离：500m over SMF。</w:t>
                  </w:r>
                </w:p>
                <w:p>
                  <w:pPr>
                    <w:pStyle w:val="null3"/>
                    <w:jc w:val="both"/>
                  </w:pPr>
                  <w:r>
                    <w:rPr>
                      <w:rFonts w:ascii="仿宋_GB2312" w:hAnsi="仿宋_GB2312" w:cs="仿宋_GB2312" w:eastAsia="仿宋_GB2312"/>
                      <w:sz w:val="24"/>
                      <w:color w:val="000000"/>
                    </w:rPr>
                    <w:t>3.提供QSFPDD-400GE-DR4-MPO≥12个，要求不低于以下配置：模块速率标准：400G QSFPDD DR4收发一体；接口：MPO-12 APC接口；光口：4x106.25Gbps；电口：8x53.125Gbps；传输距离：500m over SMF。</w:t>
                  </w:r>
                </w:p>
                <w:p>
                  <w:pPr>
                    <w:pStyle w:val="null3"/>
                    <w:jc w:val="both"/>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GPU卡</w:t>
                  </w:r>
                </w:p>
                <w:p>
                  <w:pPr>
                    <w:pStyle w:val="null3"/>
                    <w:jc w:val="both"/>
                  </w:pPr>
                  <w:r>
                    <w:rPr>
                      <w:rFonts w:ascii="仿宋_GB2312" w:hAnsi="仿宋_GB2312" w:cs="仿宋_GB2312" w:eastAsia="仿宋_GB2312"/>
                      <w:sz w:val="24"/>
                      <w:color w:val="000000"/>
                    </w:rPr>
                    <w:t>1.提供1张GPU卡,要求不低于以下配置：GTX5090，CUDA Core 21760。</w:t>
                  </w:r>
                </w:p>
                <w:p>
                  <w:pPr>
                    <w:pStyle w:val="null3"/>
                    <w:jc w:val="both"/>
                  </w:pPr>
                  <w:r>
                    <w:rPr>
                      <w:rFonts w:ascii="仿宋_GB2312" w:hAnsi="仿宋_GB2312" w:cs="仿宋_GB2312" w:eastAsia="仿宋_GB2312"/>
                      <w:sz w:val="24"/>
                      <w:b/>
                      <w:color w:val="000000"/>
                    </w:rPr>
                    <w:t>六、工作站</w:t>
                  </w:r>
                </w:p>
                <w:p>
                  <w:pPr>
                    <w:pStyle w:val="null3"/>
                    <w:jc w:val="both"/>
                  </w:pPr>
                  <w:r>
                    <w:rPr>
                      <w:rFonts w:ascii="仿宋_GB2312" w:hAnsi="仿宋_GB2312" w:cs="仿宋_GB2312" w:eastAsia="仿宋_GB2312"/>
                      <w:sz w:val="24"/>
                      <w:color w:val="000000"/>
                    </w:rPr>
                    <w:t>1.提供4套工作站；</w:t>
                  </w:r>
                </w:p>
                <w:p>
                  <w:pPr>
                    <w:pStyle w:val="null3"/>
                    <w:jc w:val="both"/>
                  </w:pPr>
                  <w:r>
                    <w:rPr>
                      <w:rFonts w:ascii="仿宋_GB2312" w:hAnsi="仿宋_GB2312" w:cs="仿宋_GB2312" w:eastAsia="仿宋_GB2312"/>
                      <w:sz w:val="24"/>
                      <w:color w:val="000000"/>
                    </w:rPr>
                    <w:t>2.单套要求不低于以下配置：27寸液晶显示器；CPU：24核（8个性能核 基频2.0GHz/睿频5.4GHz+16个能效核 基频1.5GHz/睿频4.3GHz）或以上；内存：DDR5 4*32G 5200；硬盘1：4TB 机械硬盘；硬盘2：固态硬盘 1TB；机箱，带液冷组件；配套键鼠。</w:t>
                  </w:r>
                </w:p>
                <w:p>
                  <w:pPr>
                    <w:pStyle w:val="null3"/>
                    <w:jc w:val="both"/>
                  </w:pPr>
                  <w:r>
                    <w:rPr>
                      <w:rFonts w:ascii="仿宋_GB2312" w:hAnsi="仿宋_GB2312" w:cs="仿宋_GB2312" w:eastAsia="仿宋_GB2312"/>
                      <w:sz w:val="24"/>
                      <w:b/>
                      <w:color w:val="000000"/>
                    </w:rPr>
                    <w:t>七、网络协议测试卡</w:t>
                  </w:r>
                </w:p>
                <w:p>
                  <w:pPr>
                    <w:pStyle w:val="null3"/>
                    <w:jc w:val="both"/>
                  </w:pPr>
                  <w:r>
                    <w:rPr>
                      <w:rFonts w:ascii="仿宋_GB2312" w:hAnsi="仿宋_GB2312" w:cs="仿宋_GB2312" w:eastAsia="仿宋_GB2312"/>
                      <w:sz w:val="24"/>
                      <w:color w:val="000000"/>
                    </w:rPr>
                    <w:t>1.提供1套网络协议测试卡；</w:t>
                  </w:r>
                </w:p>
                <w:p>
                  <w:pPr>
                    <w:pStyle w:val="null3"/>
                    <w:jc w:val="both"/>
                  </w:pPr>
                  <w:r>
                    <w:rPr>
                      <w:rFonts w:ascii="仿宋_GB2312" w:hAnsi="仿宋_GB2312" w:cs="仿宋_GB2312" w:eastAsia="仿宋_GB2312"/>
                      <w:sz w:val="24"/>
                      <w:color w:val="000000"/>
                    </w:rPr>
                    <w:t>▲2.基于板载FPGA芯片实现RDMA协议，LUT资源≤280000，BRAM资源≤29000Kb；</w:t>
                  </w:r>
                </w:p>
                <w:p>
                  <w:pPr>
                    <w:pStyle w:val="null3"/>
                    <w:jc w:val="both"/>
                  </w:pPr>
                  <w:r>
                    <w:rPr>
                      <w:rFonts w:ascii="仿宋_GB2312" w:hAnsi="仿宋_GB2312" w:cs="仿宋_GB2312" w:eastAsia="仿宋_GB2312"/>
                      <w:sz w:val="24"/>
                      <w:color w:val="000000"/>
                    </w:rPr>
                    <w:t>3.支持≥10G RDMA功能和普通以太网传输功能；</w:t>
                  </w:r>
                </w:p>
                <w:p>
                  <w:pPr>
                    <w:pStyle w:val="null3"/>
                    <w:jc w:val="both"/>
                  </w:pPr>
                  <w:r>
                    <w:rPr>
                      <w:rFonts w:ascii="仿宋_GB2312" w:hAnsi="仿宋_GB2312" w:cs="仿宋_GB2312" w:eastAsia="仿宋_GB2312"/>
                      <w:sz w:val="24"/>
                      <w:color w:val="000000"/>
                    </w:rPr>
                    <w:t>4.支持UDP协议卸载功能，提供类Socket的驱动接口；</w:t>
                  </w:r>
                </w:p>
                <w:p>
                  <w:pPr>
                    <w:pStyle w:val="null3"/>
                    <w:jc w:val="both"/>
                  </w:pPr>
                  <w:r>
                    <w:rPr>
                      <w:rFonts w:ascii="仿宋_GB2312" w:hAnsi="仿宋_GB2312" w:cs="仿宋_GB2312" w:eastAsia="仿宋_GB2312"/>
                      <w:sz w:val="24"/>
                      <w:color w:val="000000"/>
                    </w:rPr>
                    <w:t>5.支持≥2路物理接口，每一路接口速率都能达到≥1GB/s；</w:t>
                  </w:r>
                </w:p>
                <w:p>
                  <w:pPr>
                    <w:pStyle w:val="null3"/>
                    <w:jc w:val="both"/>
                  </w:pPr>
                  <w:r>
                    <w:rPr>
                      <w:rFonts w:ascii="仿宋_GB2312" w:hAnsi="仿宋_GB2312" w:cs="仿宋_GB2312" w:eastAsia="仿宋_GB2312"/>
                      <w:sz w:val="24"/>
                      <w:color w:val="000000"/>
                    </w:rPr>
                    <w:t>6.提供相应驱动，至少支持2种操作系统；</w:t>
                  </w:r>
                </w:p>
                <w:p>
                  <w:pPr>
                    <w:pStyle w:val="null3"/>
                    <w:jc w:val="both"/>
                  </w:pPr>
                  <w:r>
                    <w:rPr>
                      <w:rFonts w:ascii="仿宋_GB2312" w:hAnsi="仿宋_GB2312" w:cs="仿宋_GB2312" w:eastAsia="仿宋_GB2312"/>
                      <w:sz w:val="24"/>
                      <w:color w:val="000000"/>
                    </w:rPr>
                    <w:t>7.提供RDMA的功能测试，实现标准的Perftest测试；</w:t>
                  </w:r>
                </w:p>
                <w:p>
                  <w:pPr>
                    <w:pStyle w:val="null3"/>
                    <w:jc w:val="both"/>
                  </w:pPr>
                  <w:r>
                    <w:rPr>
                      <w:rFonts w:ascii="仿宋_GB2312" w:hAnsi="仿宋_GB2312" w:cs="仿宋_GB2312" w:eastAsia="仿宋_GB2312"/>
                      <w:sz w:val="24"/>
                      <w:color w:val="000000"/>
                    </w:rPr>
                    <w:t>8.提供UDP协议卸载的功能测试，提供基于UDP的测试接口。</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DPU卡</w:t>
                  </w:r>
                </w:p>
                <w:p>
                  <w:pPr>
                    <w:pStyle w:val="null3"/>
                    <w:jc w:val="center"/>
                  </w:pPr>
                  <w:r>
                    <w:rPr>
                      <w:rFonts w:ascii="仿宋_GB2312" w:hAnsi="仿宋_GB2312" w:cs="仿宋_GB2312" w:eastAsia="仿宋_GB2312"/>
                      <w:sz w:val="24"/>
                      <w:color w:val="000000"/>
                    </w:rPr>
                    <w:t>原型</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1.提供≥2张DPU卡原型；</w:t>
                  </w:r>
                </w:p>
                <w:p>
                  <w:pPr>
                    <w:pStyle w:val="null3"/>
                    <w:jc w:val="both"/>
                  </w:pPr>
                  <w:r>
                    <w:rPr>
                      <w:rFonts w:ascii="仿宋_GB2312" w:hAnsi="仿宋_GB2312" w:cs="仿宋_GB2312" w:eastAsia="仿宋_GB2312"/>
                      <w:sz w:val="24"/>
                      <w:color w:val="000000"/>
                    </w:rPr>
                    <w:t>▲2.板载单核FPGA≥3.7M LE；≥50Mb DRAM；≥80Mb BRAM；≥350Mb URAM；</w:t>
                  </w:r>
                </w:p>
                <w:p>
                  <w:pPr>
                    <w:pStyle w:val="null3"/>
                    <w:jc w:val="both"/>
                  </w:pPr>
                  <w:r>
                    <w:rPr>
                      <w:rFonts w:ascii="仿宋_GB2312" w:hAnsi="仿宋_GB2312" w:cs="仿宋_GB2312" w:eastAsia="仿宋_GB2312"/>
                      <w:sz w:val="24"/>
                      <w:color w:val="000000"/>
                    </w:rPr>
                    <w:t>3.支持不少于1个600G网络互联能力、1个400GE QSFP-DD接口（向下兼容200GE/100GE）和1个200GE QSFP56接口（向下兼容100GE）</w:t>
                  </w:r>
                </w:p>
                <w:p>
                  <w:pPr>
                    <w:pStyle w:val="null3"/>
                    <w:jc w:val="both"/>
                  </w:pPr>
                  <w:r>
                    <w:rPr>
                      <w:rFonts w:ascii="仿宋_GB2312" w:hAnsi="仿宋_GB2312" w:cs="仿宋_GB2312" w:eastAsia="仿宋_GB2312"/>
                      <w:sz w:val="24"/>
                      <w:color w:val="000000"/>
                    </w:rPr>
                    <w:t>▲4.支持PCIe Gen5 x8（双主机模式），向下兼容PCIe Gen4 x16；</w:t>
                  </w:r>
                </w:p>
                <w:p>
                  <w:pPr>
                    <w:pStyle w:val="null3"/>
                    <w:jc w:val="both"/>
                  </w:pPr>
                  <w:r>
                    <w:rPr>
                      <w:rFonts w:ascii="仿宋_GB2312" w:hAnsi="仿宋_GB2312" w:cs="仿宋_GB2312" w:eastAsia="仿宋_GB2312"/>
                      <w:sz w:val="24"/>
                      <w:color w:val="000000"/>
                    </w:rPr>
                    <w:t>5.支持≥2组16GB DDR4内存条，≥2组8GB DDR4内存颗粒组，≥3200MT/s；</w:t>
                  </w:r>
                </w:p>
                <w:p>
                  <w:pPr>
                    <w:pStyle w:val="null3"/>
                    <w:jc w:val="both"/>
                  </w:pPr>
                  <w:r>
                    <w:rPr>
                      <w:rFonts w:ascii="仿宋_GB2312" w:hAnsi="仿宋_GB2312" w:cs="仿宋_GB2312" w:eastAsia="仿宋_GB2312"/>
                      <w:sz w:val="24"/>
                      <w:color w:val="000000"/>
                    </w:rPr>
                    <w:t>6.支持≥256MB SPI flash，≥8GB eMMC flash；</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.尺寸：全高、3/4长、双宽。</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合同签订后45个日历日内供货并配置到位。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合同签订后，供应商开具合同金额80%银行保函，采购人收到银行保函正本后（银行保函有效期：自开具之日起6个月）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待验收合格后，采购人退还银行保函正本。凭成交供应商开具全额增值税专用发票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1.采购人使用单位收货后5个日历日内完成初验。 2.采购人使用单位初验合格后提出验收申请，学校相关部门根据使用单位技术验收结果，组织有关专家进行货物的最终验收。 3.其他要求详见合同文本。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1.质量保证期：验收合格之日起3年。设备故障报修后48小时内响应，质保期后供货商应负责上门维修。 2.售后服务要求：即时响应（包括电话响应）；电话响应无法解决48小时内到达现场。修复时间24小时内解决；如在48小时内无法修复，则提供部件冗余服务或采取应急措施，提供相同产品或不低于故障产品规格档次的备用产品供采购人使用，以确保货物的正常使用。 3.供应商须免费提供一次设备移机服务。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2973608682@qq.com（邮件命名：项目名称+项目编号）；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本项目未做进口论证，不接受进口产品的投标。</w:t>
            </w:r>
          </w:p>
        </w:tc>
        <w:tc>
          <w:tcPr>
            <w:tcW w:type="dxa" w:w="1661"/>
          </w:tcPr>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管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 6）本项目不专门面向中小企业采购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投标文件是否按招标文件要求签署、盖章的</w:t>
            </w:r>
          </w:p>
        </w:tc>
        <w:tc>
          <w:tcPr>
            <w:tcW w:type="dxa" w:w="1661"/>
          </w:tcPr>
          <w:p>
            <w:pPr>
              <w:pStyle w:val="null3"/>
            </w:pPr>
            <w:r>
              <w:rPr>
                <w:rFonts w:ascii="仿宋_GB2312" w:hAnsi="仿宋_GB2312" w:cs="仿宋_GB2312" w:eastAsia="仿宋_GB2312"/>
              </w:rPr>
              <w:t>开标一览表 业绩.docx 分项报价清单.docx 中小企业声明函 商务应答表 来源渠道证明材料.docx 技术开发共享.docx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投标报价未超过招标文件中规定的最高限价的</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业绩.docx 分项报价清单.docx 中小企业声明函 商务应答表 来源渠道证明材料.docx 技术开发共享.docx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业绩.docx 分项报价清单.docx 中小企业声明函 商务应答表 来源渠道证明材料.docx 技术开发共享.docx 技术条款响应偏离表.docx 投标人应授权合法的人员参加本项目招标活动全过程.docx 技术培训方案.docx 投标函 残疾人福利性单位声明函 系统集成方案.docx 组织保证措施.docx 标的清单 售后阶段的质量保证措施.docx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投标人应授权合法的人员参加本项目招标活动全过程.docx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 （1）完全满足采购技术要求的，得40分；标记“★”的参数需求为实质性要求，投标人必须响应并满足的参数需求，否则按无效投标处理。 （2）技术参数标记为“▲”为重要技术条款，每负偏离一项扣2分，共18项； （3）未标记“▲”及“★”技术指标每负偏离一项扣1分，扣完为止。 备注：标记“★”及“▲”的技术指标至少须提供下列证明材料之一予以佐证：①产品说明书；②产品检测报告；③产品彩页；④产品截图；⑤官方网页截图，投标人应在投标文件中给出明确的证明材料索引，未提供有效证明材料或证明材料中内容与所填报指标不一致的或缺项、漏项的，将视为此条不满足，视同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来源渠道证明材料</w:t>
            </w:r>
          </w:p>
        </w:tc>
        <w:tc>
          <w:tcPr>
            <w:tcW w:type="dxa" w:w="2492"/>
          </w:tcPr>
          <w:p>
            <w:pPr>
              <w:pStyle w:val="null3"/>
            </w:pPr>
            <w:r>
              <w:rPr>
                <w:rFonts w:ascii="仿宋_GB2312" w:hAnsi="仿宋_GB2312" w:cs="仿宋_GB2312" w:eastAsia="仿宋_GB2312"/>
              </w:rPr>
              <w:t>投标人针对本项目提供拟投产品原厂授权书得1分，未提供或提供不全的得0分。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来源渠道证明材料.docx</w:t>
            </w:r>
          </w:p>
        </w:tc>
      </w:tr>
      <w:tr>
        <w:tc>
          <w:tcPr>
            <w:tcW w:type="dxa" w:w="831"/>
            <w:vMerge/>
          </w:tcPr>
          <w:p/>
        </w:tc>
        <w:tc>
          <w:tcPr>
            <w:tcW w:type="dxa" w:w="1661"/>
          </w:tcPr>
          <w:p>
            <w:pPr>
              <w:pStyle w:val="null3"/>
            </w:pPr>
            <w:r>
              <w:rPr>
                <w:rFonts w:ascii="仿宋_GB2312" w:hAnsi="仿宋_GB2312" w:cs="仿宋_GB2312" w:eastAsia="仿宋_GB2312"/>
              </w:rPr>
              <w:t>系统集成方案①方案的合理性</w:t>
            </w:r>
          </w:p>
        </w:tc>
        <w:tc>
          <w:tcPr>
            <w:tcW w:type="dxa" w:w="2492"/>
          </w:tcPr>
          <w:p>
            <w:pPr>
              <w:pStyle w:val="null3"/>
            </w:pPr>
            <w:r>
              <w:rPr>
                <w:rFonts w:ascii="仿宋_GB2312" w:hAnsi="仿宋_GB2312" w:cs="仿宋_GB2312" w:eastAsia="仿宋_GB2312"/>
              </w:rPr>
              <w:t>根据投标人针对本项目提供的集成实施方案①方案的合理性进行评审： 技术方案科学、合理，内容针对性强，图文并茂阐述了集成内容和方式，完全能够保证项目质量的得7.1-8分； 技术方案科学、合理，内容针对性强，文字阐述了集成内容和方式，内容有一定的可行性及针对性，能够保证项目质量的6.1-7分； 技术方案相对科学、合理，内容简单阐述了集成内容和方式，基本上能够保证项目质量的5.1-6分； 技术方案有一定的科学性、合理性，集成内容和方式稍有欠缺，但能够保证项目质量的4.1-5分； 技术方案科学性、合理一般，集成内容和方式存在小部分欠缺，但基本上能够保证项目质量的3.1-4分； 技术方案简单，集成内容和方式存在缺项、漏项，基本上能够保证项目质量的2.1-3分； 技术方案简单、粗略，集成内容和方式存在重大缺项、漏项的1.1-2分； 方案不合理，内容不完整，前后集成逻辑不合理，存在严重缺项、漏项，可行性不足的得0-1分；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系统集成方案②方案的完整性</w:t>
            </w:r>
          </w:p>
        </w:tc>
        <w:tc>
          <w:tcPr>
            <w:tcW w:type="dxa" w:w="2492"/>
          </w:tcPr>
          <w:p>
            <w:pPr>
              <w:pStyle w:val="null3"/>
            </w:pPr>
            <w:r>
              <w:rPr>
                <w:rFonts w:ascii="仿宋_GB2312" w:hAnsi="仿宋_GB2312" w:cs="仿宋_GB2312" w:eastAsia="仿宋_GB2312"/>
              </w:rPr>
              <w:t>根据投标人针对本项目提供的集成实施方案②方案的完整性进行评审： 方案完整，完全覆盖招标技术要求，包含软硬件详细说明、系统调试等全流程内容，无遗漏项的得3.1-4分； 方案较完整，覆盖招标技术要求主要环节，包含软硬件说明及系统调试内容，个别细节略有不足的得2.1-3分； 方案基本完整，覆盖招标技术要求核心内容，但存在部分环节缺失的得1.1-2分； 方案不完整，仅覆盖招标技术要求部分内容，多个环节存在明显缺失的得0.1-1分；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系统集成方案③方案的技术先进性</w:t>
            </w:r>
          </w:p>
        </w:tc>
        <w:tc>
          <w:tcPr>
            <w:tcW w:type="dxa" w:w="2492"/>
          </w:tcPr>
          <w:p>
            <w:pPr>
              <w:pStyle w:val="null3"/>
            </w:pPr>
            <w:r>
              <w:rPr>
                <w:rFonts w:ascii="仿宋_GB2312" w:hAnsi="仿宋_GB2312" w:cs="仿宋_GB2312" w:eastAsia="仿宋_GB2312"/>
              </w:rPr>
              <w:t>根据投标人针对本项目提供的集成实施方案③方案的技术先进性进行评审： 采用行业前沿技术架构，兼容未来3年以上技术趋势，硬件性能优势显著，软件易用，整体产品兼容性好的得1.1-2分； 技术架构成熟稳定，仅能满足当前项目需求的得0-1分；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系统集成方案④系统可扩展性升级方案</w:t>
            </w:r>
          </w:p>
        </w:tc>
        <w:tc>
          <w:tcPr>
            <w:tcW w:type="dxa" w:w="2492"/>
          </w:tcPr>
          <w:p>
            <w:pPr>
              <w:pStyle w:val="null3"/>
            </w:pPr>
            <w:r>
              <w:rPr>
                <w:rFonts w:ascii="仿宋_GB2312" w:hAnsi="仿宋_GB2312" w:cs="仿宋_GB2312" w:eastAsia="仿宋_GB2312"/>
              </w:rPr>
              <w:t>根据投标人针对本项目提供的集成实施方案④系统可扩展性升级方案进行评审： 可扩展性升级方案详细完整，内容可行性、针对性强，能够保证项目顺利实施的得1.1-2分； 可扩展性升级方案相对简单，内容逻辑稍有欠缺的得0-1分； 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系统集成方案.docx</w:t>
            </w:r>
          </w:p>
        </w:tc>
      </w:tr>
      <w:tr>
        <w:tc>
          <w:tcPr>
            <w:tcW w:type="dxa" w:w="831"/>
            <w:vMerge/>
          </w:tcPr>
          <w:p/>
        </w:tc>
        <w:tc>
          <w:tcPr>
            <w:tcW w:type="dxa" w:w="1661"/>
          </w:tcPr>
          <w:p>
            <w:pPr>
              <w:pStyle w:val="null3"/>
            </w:pPr>
            <w:r>
              <w:rPr>
                <w:rFonts w:ascii="仿宋_GB2312" w:hAnsi="仿宋_GB2312" w:cs="仿宋_GB2312" w:eastAsia="仿宋_GB2312"/>
              </w:rPr>
              <w:t>组织保证措施①组织机构方案</w:t>
            </w:r>
          </w:p>
        </w:tc>
        <w:tc>
          <w:tcPr>
            <w:tcW w:type="dxa" w:w="2492"/>
          </w:tcPr>
          <w:p>
            <w:pPr>
              <w:pStyle w:val="null3"/>
            </w:pPr>
            <w:r>
              <w:rPr>
                <w:rFonts w:ascii="仿宋_GB2312" w:hAnsi="仿宋_GB2312" w:cs="仿宋_GB2312" w:eastAsia="仿宋_GB2312"/>
              </w:rPr>
              <w:t>根据投标人提供的组织保证措施①组织机构方案进行评审：①组织机构：组织机构完备，框架结构完整，运行机制有效的得0-1分；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组织保证措施②专业服务团队情况</w:t>
            </w:r>
          </w:p>
        </w:tc>
        <w:tc>
          <w:tcPr>
            <w:tcW w:type="dxa" w:w="2492"/>
          </w:tcPr>
          <w:p>
            <w:pPr>
              <w:pStyle w:val="null3"/>
            </w:pPr>
            <w:r>
              <w:rPr>
                <w:rFonts w:ascii="仿宋_GB2312" w:hAnsi="仿宋_GB2312" w:cs="仿宋_GB2312" w:eastAsia="仿宋_GB2312"/>
              </w:rPr>
              <w:t>根据投标人提供的组织保证措施②专业服务团队情况进行评审： ②专业服务团队情况：服务团队配备齐全，人员经验与项目实施具有很强的切合程度，具有针对性、可行性得0-1分。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技术培训方案①培训大纲及设备使用培训方案</w:t>
            </w:r>
          </w:p>
        </w:tc>
        <w:tc>
          <w:tcPr>
            <w:tcW w:type="dxa" w:w="2492"/>
          </w:tcPr>
          <w:p>
            <w:pPr>
              <w:pStyle w:val="null3"/>
            </w:pPr>
            <w:r>
              <w:rPr>
                <w:rFonts w:ascii="仿宋_GB2312" w:hAnsi="仿宋_GB2312" w:cs="仿宋_GB2312" w:eastAsia="仿宋_GB2312"/>
              </w:rPr>
              <w:t>根据投标人针对本项目具有可行的技术培训方案，培训采购人指定的操作和维修人员，培训内容应包括操作维护方法、排除故障等各个方面，培训的具体日期及人数由使用单位确定。确保培训后的人员应能熟练操作设备，了解设备结构、工作原理，并能排除一般故障进行评审： ①培训大纲及设备使用培训方案 提供培训设备使用方案，根据设备使用培训方案内容得0-1分。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技术培训方案②操作维护及排除故障方法</w:t>
            </w:r>
          </w:p>
        </w:tc>
        <w:tc>
          <w:tcPr>
            <w:tcW w:type="dxa" w:w="2492"/>
          </w:tcPr>
          <w:p>
            <w:pPr>
              <w:pStyle w:val="null3"/>
            </w:pPr>
            <w:r>
              <w:rPr>
                <w:rFonts w:ascii="仿宋_GB2312" w:hAnsi="仿宋_GB2312" w:cs="仿宋_GB2312" w:eastAsia="仿宋_GB2312"/>
              </w:rPr>
              <w:t>根据投标人针对本项目具有可行的技术培训方案，培训采购人指定的操作和维修人员，培训内容应包括操作维护方法、排除故障等各个方面，培训的具体日期及人数由使用单位确定。确保培训后的人员应能熟练操作设备，了解设备结构、工作原理，并能排除一般故障进行评审： ②操作维护及排除故障方法 提供操作维护及排除故障方法，根据培训内容得0-1分。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技术培训方案.docx</w:t>
            </w:r>
          </w:p>
        </w:tc>
      </w:tr>
      <w:tr>
        <w:tc>
          <w:tcPr>
            <w:tcW w:type="dxa" w:w="831"/>
            <w:vMerge/>
          </w:tcPr>
          <w:p/>
        </w:tc>
        <w:tc>
          <w:tcPr>
            <w:tcW w:type="dxa" w:w="1661"/>
          </w:tcPr>
          <w:p>
            <w:pPr>
              <w:pStyle w:val="null3"/>
            </w:pPr>
            <w:r>
              <w:rPr>
                <w:rFonts w:ascii="仿宋_GB2312" w:hAnsi="仿宋_GB2312" w:cs="仿宋_GB2312" w:eastAsia="仿宋_GB2312"/>
              </w:rPr>
              <w:t>售后阶段的质量保证措施①售后服务机构及人员配置方案</w:t>
            </w:r>
          </w:p>
        </w:tc>
        <w:tc>
          <w:tcPr>
            <w:tcW w:type="dxa" w:w="2492"/>
          </w:tcPr>
          <w:p>
            <w:pPr>
              <w:pStyle w:val="null3"/>
            </w:pPr>
            <w:r>
              <w:rPr>
                <w:rFonts w:ascii="仿宋_GB2312" w:hAnsi="仿宋_GB2312" w:cs="仿宋_GB2312" w:eastAsia="仿宋_GB2312"/>
              </w:rPr>
              <w:t>根据投标人提供的售后阶段的质量保证措施①售后服务机构及人员配置方案进行评审： ①售后服务机构及人员配置方案： 具备投标人自己的服务网点，提供专职售后服务人员，完全满足本项目需求，得0-1分；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售后阶段的质量保证措施.docx</w:t>
            </w:r>
          </w:p>
        </w:tc>
      </w:tr>
      <w:tr>
        <w:tc>
          <w:tcPr>
            <w:tcW w:type="dxa" w:w="831"/>
            <w:vMerge/>
          </w:tcPr>
          <w:p/>
        </w:tc>
        <w:tc>
          <w:tcPr>
            <w:tcW w:type="dxa" w:w="1661"/>
          </w:tcPr>
          <w:p>
            <w:pPr>
              <w:pStyle w:val="null3"/>
            </w:pPr>
            <w:r>
              <w:rPr>
                <w:rFonts w:ascii="仿宋_GB2312" w:hAnsi="仿宋_GB2312" w:cs="仿宋_GB2312" w:eastAsia="仿宋_GB2312"/>
              </w:rPr>
              <w:t>售后阶段的质量保证措施②提供所投产品制造商的售后服务承诺函</w:t>
            </w:r>
          </w:p>
        </w:tc>
        <w:tc>
          <w:tcPr>
            <w:tcW w:type="dxa" w:w="2492"/>
          </w:tcPr>
          <w:p>
            <w:pPr>
              <w:pStyle w:val="null3"/>
            </w:pPr>
            <w:r>
              <w:rPr>
                <w:rFonts w:ascii="仿宋_GB2312" w:hAnsi="仿宋_GB2312" w:cs="仿宋_GB2312" w:eastAsia="仿宋_GB2312"/>
              </w:rPr>
              <w:t>根据投标人提供的售后阶段的质量保证措施②提供所投产品制造商的售后服务承诺函进行评审： ②提供所投产品制造商的售后服务承诺函： 根据投标人提供售后服务承诺函的内容得0-1分。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售后阶段的质量保证措施.docx</w:t>
            </w:r>
          </w:p>
        </w:tc>
      </w:tr>
      <w:tr>
        <w:tc>
          <w:tcPr>
            <w:tcW w:type="dxa" w:w="831"/>
            <w:vMerge/>
          </w:tcPr>
          <w:p/>
        </w:tc>
        <w:tc>
          <w:tcPr>
            <w:tcW w:type="dxa" w:w="1661"/>
          </w:tcPr>
          <w:p>
            <w:pPr>
              <w:pStyle w:val="null3"/>
            </w:pPr>
            <w:r>
              <w:rPr>
                <w:rFonts w:ascii="仿宋_GB2312" w:hAnsi="仿宋_GB2312" w:cs="仿宋_GB2312" w:eastAsia="仿宋_GB2312"/>
              </w:rPr>
              <w:t>技术开发共享</w:t>
            </w:r>
          </w:p>
        </w:tc>
        <w:tc>
          <w:tcPr>
            <w:tcW w:type="dxa" w:w="2492"/>
          </w:tcPr>
          <w:p>
            <w:pPr>
              <w:pStyle w:val="null3"/>
            </w:pPr>
            <w:r>
              <w:rPr>
                <w:rFonts w:ascii="仿宋_GB2312" w:hAnsi="仿宋_GB2312" w:cs="仿宋_GB2312" w:eastAsia="仿宋_GB2312"/>
              </w:rPr>
              <w:t>投标人针对本项目开放以下技术源代码，方便采购人使用与修改：提供DPU卡原型的FPGA shell源码和hOst侧DMA源码。提供原厂承诺函及相应证明材料得得2分，未提供或提供不全不得分。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技术开发共享.docx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投标人应在投标文件中提供该投标人或拟投产品自2023年2月1日起至今的类似业绩证明材料，每提供一份业绩合同的得1分，满分为5分，不得重复累计。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详见附件：分项报价清单.docx</w:t>
      </w:r>
    </w:p>
    <w:p>
      <w:pPr>
        <w:pStyle w:val="null3"/>
        <w:ind w:firstLine="960"/>
      </w:pPr>
      <w:r>
        <w:rPr>
          <w:rFonts w:ascii="仿宋_GB2312" w:hAnsi="仿宋_GB2312" w:cs="仿宋_GB2312" w:eastAsia="仿宋_GB2312"/>
        </w:rPr>
        <w:t>详见附件：投标人应授权合法的人员参加本项目招标活动全过程.docx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详见附件：来源渠道证明材料.docx</w:t>
      </w:r>
    </w:p>
    <w:p>
      <w:pPr>
        <w:pStyle w:val="null3"/>
        <w:ind w:firstLine="960"/>
      </w:pPr>
      <w:r>
        <w:rPr>
          <w:rFonts w:ascii="仿宋_GB2312" w:hAnsi="仿宋_GB2312" w:cs="仿宋_GB2312" w:eastAsia="仿宋_GB2312"/>
        </w:rPr>
        <w:t>详见附件：技术开发共享.docx</w:t>
      </w:r>
    </w:p>
    <w:p>
      <w:pPr>
        <w:pStyle w:val="null3"/>
        <w:ind w:firstLine="960"/>
      </w:pPr>
      <w:r>
        <w:rPr>
          <w:rFonts w:ascii="仿宋_GB2312" w:hAnsi="仿宋_GB2312" w:cs="仿宋_GB2312" w:eastAsia="仿宋_GB2312"/>
        </w:rPr>
        <w:t>详见附件：系统集成方案.docx</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详见附件：技术培训方案.docx</w:t>
      </w:r>
    </w:p>
    <w:p>
      <w:pPr>
        <w:pStyle w:val="null3"/>
        <w:ind w:firstLine="960"/>
      </w:pPr>
      <w:r>
        <w:rPr>
          <w:rFonts w:ascii="仿宋_GB2312" w:hAnsi="仿宋_GB2312" w:cs="仿宋_GB2312" w:eastAsia="仿宋_GB2312"/>
        </w:rPr>
        <w:t>详见附件：售后阶段的质量保证措施.docx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