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FCC3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投标人根据本项目评标办法，自行拟定技术培训方案</w:t>
      </w:r>
    </w:p>
    <w:p w14:paraId="3D05B23D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</w:p>
    <w:p w14:paraId="437CE8FC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根据投标人针对本项目具有可行的技术培训方案，培训采购人指定的操作和维修人员，培训内容应包括操作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维护方法、排除故障等各个方面，培训的具体日期及人数由使用单位确定。确保培训后的人员应能熟练操作设备，了解设备结构、工作原理，并能排除一般故障进行评审：</w:t>
      </w:r>
    </w:p>
    <w:p w14:paraId="5E04C7EA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①培训大纲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及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设备使用培训方案</w:t>
      </w:r>
    </w:p>
    <w:p w14:paraId="78764C19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 xml:space="preserve">提供培训设备使用方案，根据设备使用培训方案内容得0-1分。 </w:t>
      </w:r>
    </w:p>
    <w:p w14:paraId="6D525117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宋体" w:hAnsi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zh-CN" w:eastAsia="zh-CN"/>
        </w:rPr>
        <w:t>②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操作维护及排除故障方法</w:t>
      </w:r>
    </w:p>
    <w:p w14:paraId="58948A16">
      <w:pPr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 xml:space="preserve">提供操作维护及排除故障方法，根据培训内容得0-1分。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459D644F"/>
    <w:rsid w:val="610F2976"/>
    <w:rsid w:val="634E4F86"/>
    <w:rsid w:val="69590550"/>
    <w:rsid w:val="6B9443FD"/>
    <w:rsid w:val="6CEE3336"/>
    <w:rsid w:val="74C8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247</Characters>
  <Lines>0</Lines>
  <Paragraphs>0</Paragraphs>
  <TotalTime>0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2026-03-09T09:48:25Z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28EF8A439BA64C77A2989ADD45FDAE80_12</vt:lpwstr>
  </property>
</Properties>
</file>