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版本号：ZDJ126-003ZSA20260309001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西咸院区病房卫生间部分区域安装瓷薄板项目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ZDJ126-003ZSA</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西咸院区病房卫生间部分区域安装瓷薄板项目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ZDJ126-003ZSA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西咸院区病房卫生间部分区域安装瓷薄板项目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陕西中医药大学第二附属医院西咸院区病房卫生间部分区域安装瓷薄板项目，具体内容详见采购需求。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1、企业资质：供应商须具备建设行政主管部门核发的建筑工程施工总承包三级（含三级）以上资质或建筑装修装饰工程专业承包二级（含二级）以上资质，并具有有效的安全生产许可证。</w:t>
      </w:r>
    </w:p>
    <w:p>
      <w:pPr>
        <w:pStyle w:val="null3"/>
      </w:pPr>
      <w:r>
        <w:rPr>
          <w:rFonts w:ascii="仿宋_GB2312" w:hAnsi="仿宋_GB2312" w:cs="仿宋_GB2312" w:eastAsia="仿宋_GB2312"/>
        </w:rPr>
        <w:t>2、拟派项目负责人：拟派项目负责人具备建筑工程专业二级(含二级)以上注册建造师资格，在本单位注册并具有有效的安全生产考核合格证(建安B证)，无不良记录及无在建项目(提供承诺书）。</w:t>
      </w:r>
    </w:p>
    <w:p>
      <w:pPr>
        <w:pStyle w:val="null3"/>
      </w:pPr>
      <w:r>
        <w:rPr>
          <w:rFonts w:ascii="仿宋_GB2312" w:hAnsi="仿宋_GB2312" w:cs="仿宋_GB2312" w:eastAsia="仿宋_GB2312"/>
        </w:rPr>
        <w:t>3、登记备案截图：供应商及拟派项目负责人须在“陕西省建筑市场监管与诚信信息发布平台”（https://61.185.253.130:14190/sxjzscqy/serviceportal/portalsite/index/index）中可查询，提供查询截图。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陕西省西安市雁塔区南二环东段22号凯森盛世1号A座26-27层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采购包1：926,900.00元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代理服务费收费标准：依据《招标代理服务收费管理暂行办法》（计价格[2002]1980号）规定标准下浮50%收取，由中标单位在领取成交通知书前一次性支付代理服务费。开户名称：正大方略工程咨询有限公司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踏勘时间：2026-03-17 09:00:00</w:t>
            </w:r>
          </w:p>
          <w:p>
            <w:pPr>
              <w:pStyle w:val="null3"/>
              <w:ind w:firstLine="975"/>
            </w:pPr>
            <w:r>
              <w:rPr>
                <w:rFonts w:ascii="仿宋_GB2312" w:hAnsi="仿宋_GB2312" w:cs="仿宋_GB2312" w:eastAsia="仿宋_GB2312"/>
              </w:rPr>
              <w:t>踏勘地点：陕西中医药大学第二附属医院西咸院区</w:t>
            </w:r>
          </w:p>
          <w:p>
            <w:pPr>
              <w:pStyle w:val="null3"/>
              <w:ind w:firstLine="975"/>
            </w:pPr>
            <w:r>
              <w:rPr>
                <w:rFonts w:ascii="仿宋_GB2312" w:hAnsi="仿宋_GB2312" w:cs="仿宋_GB2312" w:eastAsia="仿宋_GB2312"/>
              </w:rPr>
              <w:t>联系人：武工</w:t>
            </w:r>
          </w:p>
          <w:p>
            <w:pPr>
              <w:pStyle w:val="null3"/>
              <w:ind w:firstLine="975"/>
            </w:pPr>
            <w:r>
              <w:rPr>
                <w:rFonts w:ascii="仿宋_GB2312" w:hAnsi="仿宋_GB2312" w:cs="仿宋_GB2312" w:eastAsia="仿宋_GB2312"/>
              </w:rPr>
              <w:t>联系电话号码：15829480767</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1、工程质量应达到国家或专业的质量检验评定标准的合格条件及甲方要求。 2、达不到约定条件的部分，若在施工过程中甲方一经发现，可要求乙方无条件免费返工，乙方应按甲方要求返工，直到符合约定条件；若在工程竣工后甲方一经发现，可要求乙方无 条件免费返工，返工三次仍不能达到约定条件，甲方有权指定第三方处理，所产生的全部费用（包括但不限于委托第三方所支出的费用）均由乙方承担。 3、工程具备竣工验收条件，乙方提前 3日向甲方代表提供竣工资料。甲方代表收到竣工资料后，及时组织有关部门验收，并在验收后 5天内给予批准或提出修改意见,乙方在收到修改意见后 3日内进行返工。</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地址：西安市雁塔区南二环东段22号（凯森盛世1号）A座26楼经营一部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926,900.00</w:t>
      </w:r>
    </w:p>
    <w:p>
      <w:pPr>
        <w:pStyle w:val="null3"/>
      </w:pPr>
      <w:r>
        <w:rPr>
          <w:rFonts w:ascii="仿宋_GB2312" w:hAnsi="仿宋_GB2312" w:cs="仿宋_GB2312" w:eastAsia="仿宋_GB2312"/>
        </w:rPr>
        <w:t>采购包最高限价（元）: 894,814.90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陕西中医药大学第二附属医院西咸院区病房卫生间部分区域安装瓷薄板项目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926,900.00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标的名称：陕西中医药大学第二附属医院西咸院区病房卫生间部分区域安装瓷薄板项目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b/>
              </w:rPr>
              <w:t>、项目介绍</w:t>
            </w:r>
          </w:p>
          <w:p>
            <w:pPr>
              <w:pStyle w:val="null3"/>
            </w:pPr>
            <w:r>
              <w:rPr>
                <w:rFonts w:ascii="仿宋_GB2312" w:hAnsi="仿宋_GB2312" w:cs="仿宋_GB2312" w:eastAsia="仿宋_GB2312"/>
              </w:rPr>
              <w:t>项目拟对西咸院区住院部</w:t>
            </w:r>
            <w:r>
              <w:rPr>
                <w:rFonts w:ascii="仿宋_GB2312" w:hAnsi="仿宋_GB2312" w:cs="仿宋_GB2312" w:eastAsia="仿宋_GB2312"/>
              </w:rPr>
              <w:t>1#楼、2#楼（共12层）所有病房的卫生间外侧墙面及相邻柜体两侧已受潮区域，统一安装瓷薄板墙裙，以起到防潮、防霉、美观、易清洁的效果。本次工程共涉及537间病房，需安装瓷薄板的总面积经核算为3872.52m2。施工区域、施工工艺详见施工示意图。</w:t>
            </w:r>
          </w:p>
          <w:p>
            <w:pPr>
              <w:pStyle w:val="null3"/>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工程内容及执行规范</w:t>
            </w:r>
          </w:p>
          <w:p>
            <w:pPr>
              <w:pStyle w:val="null3"/>
            </w:pPr>
            <w:r>
              <w:rPr>
                <w:rFonts w:ascii="仿宋_GB2312" w:hAnsi="仿宋_GB2312" w:cs="仿宋_GB2312" w:eastAsia="仿宋_GB2312"/>
              </w:rPr>
              <w:t xml:space="preserve">1、施工范围及工作内容，可根据项目实际提供工程量清单、建筑图电子文档等资料。  </w:t>
            </w:r>
          </w:p>
          <w:p>
            <w:pPr>
              <w:pStyle w:val="null3"/>
            </w:pPr>
            <w:r>
              <w:rPr>
                <w:rFonts w:ascii="仿宋_GB2312" w:hAnsi="仿宋_GB2312" w:cs="仿宋_GB2312" w:eastAsia="仿宋_GB2312"/>
              </w:rPr>
              <w:t>2、需执行的国家相关标准、行业标准、地方标准或者其他标准、规范；</w:t>
            </w:r>
          </w:p>
          <w:p>
            <w:pPr>
              <w:pStyle w:val="null3"/>
            </w:pPr>
            <w:r>
              <w:rPr>
                <w:rFonts w:ascii="仿宋_GB2312" w:hAnsi="仿宋_GB2312" w:cs="仿宋_GB2312" w:eastAsia="仿宋_GB2312"/>
              </w:rPr>
              <w:t>（</w:t>
            </w:r>
            <w:r>
              <w:rPr>
                <w:rFonts w:ascii="仿宋_GB2312" w:hAnsi="仿宋_GB2312" w:cs="仿宋_GB2312" w:eastAsia="仿宋_GB2312"/>
              </w:rPr>
              <w:t>1）建筑工程施工质量验收统一标准（GB50300-2013）；</w:t>
            </w:r>
          </w:p>
          <w:p>
            <w:pPr>
              <w:pStyle w:val="null3"/>
            </w:pPr>
            <w:r>
              <w:rPr>
                <w:rFonts w:ascii="仿宋_GB2312" w:hAnsi="仿宋_GB2312" w:cs="仿宋_GB2312" w:eastAsia="仿宋_GB2312"/>
              </w:rPr>
              <w:t>（</w:t>
            </w:r>
            <w:r>
              <w:rPr>
                <w:rFonts w:ascii="仿宋_GB2312" w:hAnsi="仿宋_GB2312" w:cs="仿宋_GB2312" w:eastAsia="仿宋_GB2312"/>
              </w:rPr>
              <w:t>2）建筑地基基础工程施工质量验收规范（GB50202-2018）；</w:t>
            </w:r>
          </w:p>
          <w:p>
            <w:pPr>
              <w:pStyle w:val="null3"/>
            </w:pPr>
            <w:r>
              <w:rPr>
                <w:rFonts w:ascii="仿宋_GB2312" w:hAnsi="仿宋_GB2312" w:cs="仿宋_GB2312" w:eastAsia="仿宋_GB2312"/>
              </w:rPr>
              <w:t>（</w:t>
            </w:r>
            <w:r>
              <w:rPr>
                <w:rFonts w:ascii="仿宋_GB2312" w:hAnsi="仿宋_GB2312" w:cs="仿宋_GB2312" w:eastAsia="仿宋_GB2312"/>
              </w:rPr>
              <w:t>3）砌体工程施工质量验收规范（GB50203-2011）；</w:t>
            </w:r>
          </w:p>
          <w:p>
            <w:pPr>
              <w:pStyle w:val="null3"/>
            </w:pPr>
            <w:r>
              <w:rPr>
                <w:rFonts w:ascii="仿宋_GB2312" w:hAnsi="仿宋_GB2312" w:cs="仿宋_GB2312" w:eastAsia="仿宋_GB2312"/>
              </w:rPr>
              <w:t>（</w:t>
            </w:r>
            <w:r>
              <w:rPr>
                <w:rFonts w:ascii="仿宋_GB2312" w:hAnsi="仿宋_GB2312" w:cs="仿宋_GB2312" w:eastAsia="仿宋_GB2312"/>
              </w:rPr>
              <w:t>4）混凝土结构工程施工质量验收规范（GB50204-2023）；</w:t>
            </w:r>
          </w:p>
          <w:p>
            <w:pPr>
              <w:pStyle w:val="null3"/>
            </w:pPr>
            <w:r>
              <w:rPr>
                <w:rFonts w:ascii="仿宋_GB2312" w:hAnsi="仿宋_GB2312" w:cs="仿宋_GB2312" w:eastAsia="仿宋_GB2312"/>
              </w:rPr>
              <w:t>（</w:t>
            </w:r>
            <w:r>
              <w:rPr>
                <w:rFonts w:ascii="仿宋_GB2312" w:hAnsi="仿宋_GB2312" w:cs="仿宋_GB2312" w:eastAsia="仿宋_GB2312"/>
              </w:rPr>
              <w:t>5）屋面工程施工质量验收规范（GB50207-2012）；</w:t>
            </w:r>
          </w:p>
          <w:p>
            <w:pPr>
              <w:pStyle w:val="null3"/>
            </w:pPr>
            <w:r>
              <w:rPr>
                <w:rFonts w:ascii="仿宋_GB2312" w:hAnsi="仿宋_GB2312" w:cs="仿宋_GB2312" w:eastAsia="仿宋_GB2312"/>
              </w:rPr>
              <w:t>（</w:t>
            </w:r>
            <w:r>
              <w:rPr>
                <w:rFonts w:ascii="仿宋_GB2312" w:hAnsi="仿宋_GB2312" w:cs="仿宋_GB2312" w:eastAsia="仿宋_GB2312"/>
              </w:rPr>
              <w:t>6）建筑地面工程施工质量验收规范（GB50209-2010）；</w:t>
            </w:r>
          </w:p>
          <w:p>
            <w:pPr>
              <w:pStyle w:val="null3"/>
            </w:pPr>
            <w:r>
              <w:rPr>
                <w:rFonts w:ascii="仿宋_GB2312" w:hAnsi="仿宋_GB2312" w:cs="仿宋_GB2312" w:eastAsia="仿宋_GB2312"/>
              </w:rPr>
              <w:t>（</w:t>
            </w:r>
            <w:r>
              <w:rPr>
                <w:rFonts w:ascii="仿宋_GB2312" w:hAnsi="仿宋_GB2312" w:cs="仿宋_GB2312" w:eastAsia="仿宋_GB2312"/>
              </w:rPr>
              <w:t>7）建筑装饰装修工程施工质量验收规范（GB50210-2023）；</w:t>
            </w:r>
          </w:p>
          <w:p>
            <w:pPr>
              <w:pStyle w:val="null3"/>
            </w:pPr>
            <w:r>
              <w:rPr>
                <w:rFonts w:ascii="仿宋_GB2312" w:hAnsi="仿宋_GB2312" w:cs="仿宋_GB2312" w:eastAsia="仿宋_GB2312"/>
              </w:rPr>
              <w:t>（</w:t>
            </w:r>
            <w:r>
              <w:rPr>
                <w:rFonts w:ascii="仿宋_GB2312" w:hAnsi="仿宋_GB2312" w:cs="仿宋_GB2312" w:eastAsia="仿宋_GB2312"/>
              </w:rPr>
              <w:t>8）建筑给水排水及采暖工程施工质量验收规范（GB50242-2002）；</w:t>
            </w:r>
          </w:p>
          <w:p>
            <w:pPr>
              <w:pStyle w:val="null3"/>
            </w:pPr>
            <w:r>
              <w:rPr>
                <w:rFonts w:ascii="仿宋_GB2312" w:hAnsi="仿宋_GB2312" w:cs="仿宋_GB2312" w:eastAsia="仿宋_GB2312"/>
              </w:rPr>
              <w:t>（</w:t>
            </w:r>
            <w:r>
              <w:rPr>
                <w:rFonts w:ascii="仿宋_GB2312" w:hAnsi="仿宋_GB2312" w:cs="仿宋_GB2312" w:eastAsia="仿宋_GB2312"/>
              </w:rPr>
              <w:t>9）建筑电气工程施工质量验收规范（GB50303-2022）；</w:t>
            </w:r>
          </w:p>
          <w:p>
            <w:pPr>
              <w:pStyle w:val="null3"/>
            </w:pPr>
            <w:r>
              <w:rPr>
                <w:rFonts w:ascii="仿宋_GB2312" w:hAnsi="仿宋_GB2312" w:cs="仿宋_GB2312" w:eastAsia="仿宋_GB2312"/>
              </w:rPr>
              <w:t>（</w:t>
            </w:r>
            <w:r>
              <w:rPr>
                <w:rFonts w:ascii="仿宋_GB2312" w:hAnsi="仿宋_GB2312" w:cs="仿宋_GB2312" w:eastAsia="仿宋_GB2312"/>
              </w:rPr>
              <w:t>10）建设工程监理规范（GB/T50319-2013）；</w:t>
            </w:r>
          </w:p>
          <w:p>
            <w:pPr>
              <w:pStyle w:val="null3"/>
            </w:pPr>
            <w:r>
              <w:rPr>
                <w:rFonts w:ascii="仿宋_GB2312" w:hAnsi="仿宋_GB2312" w:cs="仿宋_GB2312" w:eastAsia="仿宋_GB2312"/>
              </w:rPr>
              <w:t>（</w:t>
            </w:r>
            <w:r>
              <w:rPr>
                <w:rFonts w:ascii="仿宋_GB2312" w:hAnsi="仿宋_GB2312" w:cs="仿宋_GB2312" w:eastAsia="仿宋_GB2312"/>
              </w:rPr>
              <w:t>11）建设工程项目管理规范（GB／T50326-2017）。</w:t>
            </w:r>
          </w:p>
          <w:p>
            <w:pPr>
              <w:pStyle w:val="null3"/>
            </w:pPr>
            <w:r>
              <w:rPr>
                <w:rFonts w:ascii="仿宋_GB2312" w:hAnsi="仿宋_GB2312" w:cs="仿宋_GB2312" w:eastAsia="仿宋_GB2312"/>
              </w:rPr>
              <w:t>如以上规范与国家或地方发布的最新标准冲突，以最新标为准。</w:t>
            </w:r>
          </w:p>
          <w:p>
            <w:pPr>
              <w:pStyle w:val="null3"/>
            </w:pPr>
            <w:r>
              <w:rPr>
                <w:rFonts w:ascii="仿宋_GB2312" w:hAnsi="仿宋_GB2312" w:cs="仿宋_GB2312" w:eastAsia="仿宋_GB2312"/>
                <w:b/>
              </w:rPr>
              <w:t>三、</w:t>
            </w:r>
            <w:r>
              <w:rPr>
                <w:rFonts w:ascii="仿宋_GB2312" w:hAnsi="仿宋_GB2312" w:cs="仿宋_GB2312" w:eastAsia="仿宋_GB2312"/>
                <w:b/>
              </w:rPr>
              <w:t>质量要求：</w:t>
            </w:r>
          </w:p>
          <w:p>
            <w:pPr>
              <w:pStyle w:val="null3"/>
            </w:pPr>
            <w:r>
              <w:rPr>
                <w:rFonts w:ascii="仿宋_GB2312" w:hAnsi="仿宋_GB2312" w:cs="仿宋_GB2312" w:eastAsia="仿宋_GB2312"/>
              </w:rPr>
              <w:t>（</w:t>
            </w:r>
            <w:r>
              <w:rPr>
                <w:rFonts w:ascii="仿宋_GB2312" w:hAnsi="仿宋_GB2312" w:cs="仿宋_GB2312" w:eastAsia="仿宋_GB2312"/>
              </w:rPr>
              <w:t>1）工程质量应达到国家或专业的质量检验评定标准的合格条件及甲方要求。具体质量标准包括但不限于以下方面：</w:t>
            </w:r>
          </w:p>
          <w:p>
            <w:pPr>
              <w:pStyle w:val="null3"/>
            </w:pPr>
            <w:r>
              <w:rPr>
                <w:rFonts w:ascii="仿宋_GB2312" w:hAnsi="仿宋_GB2312" w:cs="仿宋_GB2312" w:eastAsia="仿宋_GB2312"/>
              </w:rPr>
              <w:t>1.1结构安全可靠，符合设计要求和相关规范规定的强度、刚度和稳定性；</w:t>
            </w:r>
          </w:p>
          <w:p>
            <w:pPr>
              <w:pStyle w:val="null3"/>
            </w:pPr>
            <w:r>
              <w:rPr>
                <w:rFonts w:ascii="仿宋_GB2312" w:hAnsi="仿宋_GB2312" w:cs="仿宋_GB2312" w:eastAsia="仿宋_GB2312"/>
              </w:rPr>
              <w:t>1.2给排水、电气、通暖等设备安装工程运行正常，无渗漏、堵塞、漏电等问题。</w:t>
            </w:r>
          </w:p>
          <w:p>
            <w:pPr>
              <w:pStyle w:val="null3"/>
            </w:pPr>
            <w:r>
              <w:rPr>
                <w:rFonts w:ascii="仿宋_GB2312" w:hAnsi="仿宋_GB2312" w:cs="仿宋_GB2312" w:eastAsia="仿宋_GB2312"/>
              </w:rPr>
              <w:t>（</w:t>
            </w:r>
            <w:r>
              <w:rPr>
                <w:rFonts w:ascii="仿宋_GB2312" w:hAnsi="仿宋_GB2312" w:cs="仿宋_GB2312" w:eastAsia="仿宋_GB2312"/>
              </w:rPr>
              <w:t>2）达不到约定条件的部分，若在施工过程中甲方一经发现，可要求乙方无条件免费返工，乙方应按甲方要求返工，乙方拒绝返工或返工三次后仍不能达到约定条件的，视为乙方根本违约，甲方可单方解除合同并要求乙方支付合同暂定总金额 5 %的违约金，达不到约定条件的部分给甲方或其他任何第三人造成人身或财产损害的，由乙方承担赔偿责任，甲方因此遭遇索赔的，有权向乙方追偿；若在工程竣工后甲方一经发现，可要求乙方无条件免费返工，乙方拒绝返工或返工三次仍不能达到约定条件，甲方有权指定第三方处理，所产生的全部费用（包括但不限于委托第三方所支出的费用）均由乙方承担。</w:t>
            </w:r>
          </w:p>
          <w:p>
            <w:pPr>
              <w:pStyle w:val="null3"/>
            </w:pPr>
            <w:r>
              <w:rPr>
                <w:rFonts w:ascii="仿宋_GB2312" w:hAnsi="仿宋_GB2312" w:cs="仿宋_GB2312" w:eastAsia="仿宋_GB2312"/>
                <w:b/>
              </w:rPr>
              <w:t>四、</w:t>
            </w:r>
            <w:r>
              <w:rPr>
                <w:rFonts w:ascii="仿宋_GB2312" w:hAnsi="仿宋_GB2312" w:cs="仿宋_GB2312" w:eastAsia="仿宋_GB2312"/>
                <w:b/>
              </w:rPr>
              <w:t>安全要求：</w:t>
            </w:r>
          </w:p>
          <w:p>
            <w:pPr>
              <w:pStyle w:val="null3"/>
            </w:pPr>
            <w:r>
              <w:rPr>
                <w:rFonts w:ascii="仿宋_GB2312" w:hAnsi="仿宋_GB2312" w:cs="仿宋_GB2312" w:eastAsia="仿宋_GB2312"/>
              </w:rPr>
              <w:t>（</w:t>
            </w:r>
            <w:r>
              <w:rPr>
                <w:rFonts w:ascii="仿宋_GB2312" w:hAnsi="仿宋_GB2312" w:cs="仿宋_GB2312" w:eastAsia="仿宋_GB2312"/>
              </w:rPr>
              <w:t>1）双方必须认真贯彻国家和上级劳动保护、安全生产主管部门办法的有关生产、消防工作的方针、政策,严格执行有关劳动保护法规、条例、规定。</w:t>
            </w:r>
          </w:p>
          <w:p>
            <w:pPr>
              <w:pStyle w:val="null3"/>
            </w:pPr>
            <w:r>
              <w:rPr>
                <w:rFonts w:ascii="仿宋_GB2312" w:hAnsi="仿宋_GB2312" w:cs="仿宋_GB2312" w:eastAsia="仿宋_GB2312"/>
              </w:rPr>
              <w:t>（</w:t>
            </w:r>
            <w:r>
              <w:rPr>
                <w:rFonts w:ascii="仿宋_GB2312" w:hAnsi="仿宋_GB2312" w:cs="仿宋_GB2312" w:eastAsia="仿宋_GB2312"/>
              </w:rPr>
              <w:t>2）双方的领导必须认真对本单位职工进行安全生产制度及安全技术知识教育，增强法制观念，提高职工的安全生产思想意识和自我保护的能力，督促职工自觉遵守安全纪律、制度法规。</w:t>
            </w:r>
          </w:p>
          <w:p>
            <w:pPr>
              <w:pStyle w:val="null3"/>
            </w:pPr>
            <w:r>
              <w:rPr>
                <w:rFonts w:ascii="仿宋_GB2312" w:hAnsi="仿宋_GB2312" w:cs="仿宋_GB2312" w:eastAsia="仿宋_GB2312"/>
              </w:rPr>
              <w:t>（</w:t>
            </w:r>
            <w:r>
              <w:rPr>
                <w:rFonts w:ascii="仿宋_GB2312" w:hAnsi="仿宋_GB2312" w:cs="仿宋_GB2312" w:eastAsia="仿宋_GB2312"/>
              </w:rPr>
              <w:t>3）乙方应有安全管理组织体制，包括抓安全生产的领导，各级专职和兼职的安全负责人；应有各工种的安全操作规程，特种作业工人的审证考核制度及各级安全生产岗位责任制和定期安全检查制度。</w:t>
            </w:r>
          </w:p>
          <w:p>
            <w:pPr>
              <w:pStyle w:val="null3"/>
            </w:pPr>
            <w:r>
              <w:rPr>
                <w:rFonts w:ascii="仿宋_GB2312" w:hAnsi="仿宋_GB2312" w:cs="仿宋_GB2312" w:eastAsia="仿宋_GB2312"/>
              </w:rPr>
              <w:t>（</w:t>
            </w:r>
            <w:r>
              <w:rPr>
                <w:rFonts w:ascii="仿宋_GB2312" w:hAnsi="仿宋_GB2312" w:cs="仿宋_GB2312" w:eastAsia="仿宋_GB2312"/>
              </w:rPr>
              <w:t>4）施工前，乙方应组织召开管理、施工人员安全生产教育会议，并通知甲方委派有关人员出席会议。介绍施工中有关安全防火等规章制度及要求，乙方必须检查、督促施工人员严格遵守、认真执行。</w:t>
            </w:r>
          </w:p>
          <w:p>
            <w:pPr>
              <w:pStyle w:val="null3"/>
            </w:pPr>
            <w:r>
              <w:rPr>
                <w:rFonts w:ascii="仿宋_GB2312" w:hAnsi="仿宋_GB2312" w:cs="仿宋_GB2312" w:eastAsia="仿宋_GB2312"/>
              </w:rPr>
              <w:t>（</w:t>
            </w:r>
            <w:r>
              <w:rPr>
                <w:rFonts w:ascii="仿宋_GB2312" w:hAnsi="仿宋_GB2312" w:cs="仿宋_GB2312" w:eastAsia="仿宋_GB2312"/>
              </w:rPr>
              <w:t>5）施工期间，乙方指派固定人员负责项目的有关安全、防火工作；甲方指派人员负责职系予以协助督促乙方执行有关安全、防火规定。甲乙双方应经常联系，相互协助检查工程项目中有关安全、防火工作，共同预防事故发生。</w:t>
            </w:r>
          </w:p>
          <w:p>
            <w:pPr>
              <w:pStyle w:val="null3"/>
            </w:pPr>
            <w:r>
              <w:rPr>
                <w:rFonts w:ascii="仿宋_GB2312" w:hAnsi="仿宋_GB2312" w:cs="仿宋_GB2312" w:eastAsia="仿宋_GB2312"/>
              </w:rPr>
              <w:t>（</w:t>
            </w:r>
            <w:r>
              <w:rPr>
                <w:rFonts w:ascii="仿宋_GB2312" w:hAnsi="仿宋_GB2312" w:cs="仿宋_GB2312" w:eastAsia="仿宋_GB2312"/>
              </w:rPr>
              <w:t>6）乙方在施工期间必须严格执行和遵守甲方的安全生产防火管理的各类规定，接受甲方的监督、检查和指导。</w:t>
            </w:r>
          </w:p>
          <w:p>
            <w:pPr>
              <w:pStyle w:val="null3"/>
            </w:pPr>
            <w:r>
              <w:rPr>
                <w:rFonts w:ascii="仿宋_GB2312" w:hAnsi="仿宋_GB2312" w:cs="仿宋_GB2312" w:eastAsia="仿宋_GB2312"/>
              </w:rPr>
              <w:t>（</w:t>
            </w:r>
            <w:r>
              <w:rPr>
                <w:rFonts w:ascii="仿宋_GB2312" w:hAnsi="仿宋_GB2312" w:cs="仿宋_GB2312" w:eastAsia="仿宋_GB2312"/>
              </w:rPr>
              <w:t>7）在生产操作过程中施工现场人员应自觉穿戴好安全防护用品。</w:t>
            </w:r>
          </w:p>
          <w:p>
            <w:pPr>
              <w:pStyle w:val="null3"/>
            </w:pPr>
            <w:r>
              <w:rPr>
                <w:rFonts w:ascii="仿宋_GB2312" w:hAnsi="仿宋_GB2312" w:cs="仿宋_GB2312" w:eastAsia="仿宋_GB2312"/>
              </w:rPr>
              <w:t>（</w:t>
            </w:r>
            <w:r>
              <w:rPr>
                <w:rFonts w:ascii="仿宋_GB2312" w:hAnsi="仿宋_GB2312" w:cs="仿宋_GB2312" w:eastAsia="仿宋_GB2312"/>
              </w:rPr>
              <w:t>8）双方人员对各自所出的施工区域、作业环境、操作施工设备、工具用具等必须认真检查，发现隐患，应即停止施工，整改措施落实后方准施工。一经施工，就表示施工单位确认施工现场，作业环境，设施设备，工具用具等符合安全要求和处于安全状态，施工单位对施工过程中产生的任何不安全后果自行负责。</w:t>
            </w:r>
          </w:p>
          <w:p>
            <w:pPr>
              <w:pStyle w:val="null3"/>
            </w:pPr>
            <w:r>
              <w:rPr>
                <w:rFonts w:ascii="仿宋_GB2312" w:hAnsi="仿宋_GB2312" w:cs="仿宋_GB2312" w:eastAsia="仿宋_GB2312"/>
              </w:rPr>
              <w:t>（</w:t>
            </w:r>
            <w:r>
              <w:rPr>
                <w:rFonts w:ascii="仿宋_GB2312" w:hAnsi="仿宋_GB2312" w:cs="仿宋_GB2312" w:eastAsia="仿宋_GB2312"/>
              </w:rPr>
              <w:t>9）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pPr>
              <w:pStyle w:val="null3"/>
            </w:pPr>
            <w:r>
              <w:rPr>
                <w:rFonts w:ascii="仿宋_GB2312" w:hAnsi="仿宋_GB2312" w:cs="仿宋_GB2312" w:eastAsia="仿宋_GB2312"/>
              </w:rPr>
              <w:t>（</w:t>
            </w:r>
            <w:r>
              <w:rPr>
                <w:rFonts w:ascii="仿宋_GB2312" w:hAnsi="仿宋_GB2312" w:cs="仿宋_GB2312" w:eastAsia="仿宋_GB2312"/>
              </w:rPr>
              <w:t>10）甲乙双方的人员对施工现场的脚手架、各类安全防护措施、安全标志和警告牌，不得擅自拆除、更动。如确实需要拆除更动的，必须经甲乙双方指派的安全管理人员的同意，并采取必要、可靠的安全措施后方能拆除。任何一方人员，擅自拆除所造成的后果，均由该方人员及其单位负责承担。</w:t>
            </w:r>
          </w:p>
          <w:p>
            <w:pPr>
              <w:pStyle w:val="null3"/>
            </w:pPr>
            <w:r>
              <w:rPr>
                <w:rFonts w:ascii="仿宋_GB2312" w:hAnsi="仿宋_GB2312" w:cs="仿宋_GB2312" w:eastAsia="仿宋_GB2312"/>
              </w:rPr>
              <w:t>（</w:t>
            </w:r>
            <w:r>
              <w:rPr>
                <w:rFonts w:ascii="仿宋_GB2312" w:hAnsi="仿宋_GB2312" w:cs="仿宋_GB2312" w:eastAsia="仿宋_GB2312"/>
              </w:rPr>
              <w:t>11）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pPr>
              <w:pStyle w:val="null3"/>
            </w:pPr>
            <w:r>
              <w:rPr>
                <w:rFonts w:ascii="仿宋_GB2312" w:hAnsi="仿宋_GB2312" w:cs="仿宋_GB2312" w:eastAsia="仿宋_GB2312"/>
              </w:rPr>
              <w:t>（</w:t>
            </w:r>
            <w:r>
              <w:rPr>
                <w:rFonts w:ascii="仿宋_GB2312" w:hAnsi="仿宋_GB2312" w:cs="仿宋_GB2312" w:eastAsia="仿宋_GB2312"/>
              </w:rPr>
              <w:t>12）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消防主管人员同意，落实防火、防中毒措施，并指派专人值班。</w:t>
            </w:r>
          </w:p>
          <w:p>
            <w:pPr>
              <w:pStyle w:val="null3"/>
            </w:pPr>
            <w:r>
              <w:rPr>
                <w:rFonts w:ascii="仿宋_GB2312" w:hAnsi="仿宋_GB2312" w:cs="仿宋_GB2312" w:eastAsia="仿宋_GB2312"/>
              </w:rPr>
              <w:t>（</w:t>
            </w:r>
            <w:r>
              <w:rPr>
                <w:rFonts w:ascii="仿宋_GB2312" w:hAnsi="仿宋_GB2312" w:cs="仿宋_GB2312" w:eastAsia="仿宋_GB2312"/>
              </w:rPr>
              <w:t>13）乙方需用甲方提供的电气设备，在使用前应先进行检测，如不符安全规定的应及时向甲方提出，甲方应积极整改，整改合格后方准使用，违反本规定或不经甲方许可，擅自乱拉电器线路造成后果均由肇事者单位负责。</w:t>
            </w:r>
          </w:p>
          <w:p>
            <w:pPr>
              <w:pStyle w:val="null3"/>
            </w:pPr>
            <w:r>
              <w:rPr>
                <w:rFonts w:ascii="仿宋_GB2312" w:hAnsi="仿宋_GB2312" w:cs="仿宋_GB2312" w:eastAsia="仿宋_GB2312"/>
              </w:rPr>
              <w:t>（</w:t>
            </w:r>
            <w:r>
              <w:rPr>
                <w:rFonts w:ascii="仿宋_GB2312" w:hAnsi="仿宋_GB2312" w:cs="仿宋_GB2312" w:eastAsia="仿宋_GB2312"/>
              </w:rPr>
              <w:t>14）施工过程中，应注意地下管线及高低压架空线路的保护，甲方对地下管线和障碍物应详细交底，乙方应贯彻交底要求，如遇有情况，应及时向甲方和有关部门联系，采取保护措施。</w:t>
            </w:r>
          </w:p>
          <w:p>
            <w:pPr>
              <w:pStyle w:val="null3"/>
            </w:pPr>
            <w:r>
              <w:rPr>
                <w:rFonts w:ascii="仿宋_GB2312" w:hAnsi="仿宋_GB2312" w:cs="仿宋_GB2312" w:eastAsia="仿宋_GB2312"/>
              </w:rPr>
              <w:t>（</w:t>
            </w:r>
            <w:r>
              <w:rPr>
                <w:rFonts w:ascii="仿宋_GB2312" w:hAnsi="仿宋_GB2312" w:cs="仿宋_GB2312" w:eastAsia="仿宋_GB2312"/>
              </w:rPr>
              <w:t>15）贯彻谁施工谁负责安全原则，乙方人员在施工期间，造成伤亡、火警、火灾、机械等其它事故（包括由乙方责任造成甲方人员、它方人员、行人伤亡等），由乙方承担全部责任和因此发生的全部费用，甲方不承担任何经济责任。若甲方因此遭受索赔的，有权向乙方追偿。追偿费用包括但不限于甲方为此支付的诉讼费、律师费、保全费、差旅费、财产保全保险费等费用。</w:t>
            </w:r>
          </w:p>
          <w:p>
            <w:pPr>
              <w:pStyle w:val="null3"/>
            </w:pPr>
            <w:r>
              <w:rPr>
                <w:rFonts w:ascii="仿宋_GB2312" w:hAnsi="仿宋_GB2312" w:cs="仿宋_GB2312" w:eastAsia="仿宋_GB2312"/>
                <w:b/>
              </w:rPr>
              <w:t>五、</w:t>
            </w:r>
            <w:r>
              <w:rPr>
                <w:rFonts w:ascii="仿宋_GB2312" w:hAnsi="仿宋_GB2312" w:cs="仿宋_GB2312" w:eastAsia="仿宋_GB2312"/>
                <w:b/>
              </w:rPr>
              <w:t>工期要求：</w:t>
            </w:r>
            <w:r>
              <w:rPr>
                <w:rFonts w:ascii="仿宋_GB2312" w:hAnsi="仿宋_GB2312" w:cs="仿宋_GB2312" w:eastAsia="仿宋_GB2312"/>
              </w:rPr>
              <w:t>从合同签订之日起</w:t>
            </w:r>
            <w:r>
              <w:rPr>
                <w:rFonts w:ascii="仿宋_GB2312" w:hAnsi="仿宋_GB2312" w:cs="仿宋_GB2312" w:eastAsia="仿宋_GB2312"/>
              </w:rPr>
              <w:t xml:space="preserve">150个日历日。   </w:t>
            </w:r>
          </w:p>
          <w:p>
            <w:pPr>
              <w:pStyle w:val="null3"/>
            </w:pPr>
            <w:r>
              <w:rPr>
                <w:rFonts w:ascii="仿宋_GB2312" w:hAnsi="仿宋_GB2312" w:cs="仿宋_GB2312" w:eastAsia="仿宋_GB2312"/>
                <w:b/>
              </w:rPr>
              <w:t>六、</w:t>
            </w:r>
            <w:r>
              <w:rPr>
                <w:rFonts w:ascii="仿宋_GB2312" w:hAnsi="仿宋_GB2312" w:cs="仿宋_GB2312" w:eastAsia="仿宋_GB2312"/>
                <w:b/>
              </w:rPr>
              <w:t>缺陷责任期期：</w:t>
            </w:r>
            <w:r>
              <w:rPr>
                <w:rFonts w:ascii="仿宋_GB2312" w:hAnsi="仿宋_GB2312" w:cs="仿宋_GB2312" w:eastAsia="仿宋_GB2312"/>
              </w:rPr>
              <w:t>自工程竣工验收合格之日起计</w:t>
            </w:r>
            <w:r>
              <w:rPr>
                <w:rFonts w:ascii="仿宋_GB2312" w:hAnsi="仿宋_GB2312" w:cs="仿宋_GB2312" w:eastAsia="仿宋_GB2312"/>
              </w:rPr>
              <w:t xml:space="preserve"> 2 年，缺陷责任期内，凡工程出现质量问题或损毁，接到甲方通知后，响应时间为正常工作日 2 小时内答复，12小时内到现场处理，24小时内排除故障恢复正常使用；节假日及法定休息日6小时内答复，24小时内到现场处理，48小时内排除故障恢复正常使用。否则甲方有权指定第三方处理，所产生的全部费用（包括但不限于委托第三方所支付的费用）均由乙方承担。如出现重大质量问题或因质量问题引起的安全事故，乙方应全部承担维修费用且赔偿因质量问题对甲方造成的所有损失，同时乙方应承担甲方为此支付的诉讼费、律师费、保全费、差旅费、财产保全保险费等费用。</w:t>
            </w:r>
          </w:p>
          <w:p>
            <w:pPr>
              <w:pStyle w:val="null3"/>
            </w:pPr>
            <w:r>
              <w:rPr>
                <w:rFonts w:ascii="仿宋_GB2312" w:hAnsi="仿宋_GB2312" w:cs="仿宋_GB2312" w:eastAsia="仿宋_GB2312"/>
                <w:b/>
              </w:rPr>
              <w:t>七、</w:t>
            </w:r>
            <w:r>
              <w:rPr>
                <w:rFonts w:ascii="仿宋_GB2312" w:hAnsi="仿宋_GB2312" w:cs="仿宋_GB2312" w:eastAsia="仿宋_GB2312"/>
                <w:b/>
              </w:rPr>
              <w:t>验收标准</w:t>
            </w:r>
            <w:r>
              <w:rPr>
                <w:rFonts w:ascii="仿宋_GB2312" w:hAnsi="仿宋_GB2312" w:cs="仿宋_GB2312" w:eastAsia="仿宋_GB2312"/>
                <w:b/>
              </w:rPr>
              <w:t>：</w:t>
            </w:r>
            <w:r>
              <w:rPr>
                <w:rFonts w:ascii="仿宋_GB2312" w:hAnsi="仿宋_GB2312" w:cs="仿宋_GB2312" w:eastAsia="仿宋_GB2312"/>
              </w:rPr>
              <w:t>1、工程质量应达到国家或专业的质量检验评定标准的合格条件及甲方要求。</w:t>
            </w:r>
          </w:p>
          <w:p>
            <w:pPr>
              <w:pStyle w:val="null3"/>
            </w:pPr>
            <w:r>
              <w:rPr>
                <w:rFonts w:ascii="仿宋_GB2312" w:hAnsi="仿宋_GB2312" w:cs="仿宋_GB2312" w:eastAsia="仿宋_GB2312"/>
              </w:rPr>
              <w:t xml:space="preserve">2、达不到约定条件的部分，若在施工过程中甲方一经发现，可要求乙方无条件免费返工，乙方应按甲方要求返工，直到符合约定条件；若在工程竣工后甲方一经发现，可要求乙方无 条件免费返工，返工三次仍不能达到约定条件，甲方有权指定第三方处理，所产生的全部费用（包括但不限于委托第三方所支出的费用）均由乙方承担。   </w:t>
            </w:r>
          </w:p>
          <w:p>
            <w:pPr>
              <w:pStyle w:val="null3"/>
            </w:pPr>
            <w:r>
              <w:rPr>
                <w:rFonts w:ascii="仿宋_GB2312" w:hAnsi="仿宋_GB2312" w:cs="仿宋_GB2312" w:eastAsia="仿宋_GB2312"/>
                <w:sz w:val="21"/>
              </w:rPr>
              <w:t>3、工程具备竣工验收条件，乙方提前 3日向甲方代表提供竣工资料。甲方代表收到竣工资料后，及时组织有关部门验收，并在验收后 5天内给予批准或提出修改意见,乙方在收到修改意见后 3日内进行返工。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 （1）建筑工程施工质量验收统一标准（GB50300-2013）； （2）建筑地基基础工程施工质量验收规范（GB50202-2018）； （3）砌体工程施工质量验收规范（GB50203-2011）； （4）混凝土结构工程施工质量验收规范（GB50204-2023）； （5）屋面工程施工质量验收规范（GB50207-2012）； （6）建筑地面工程施工质量验收规范（GB50209-2010）； （7）建筑装饰装修工程施工质量验收规范（GB50210-2023）； （8）建筑给水排水及采暖工程施工质量验收规范（GB50242-2002）； （9）建筑电气工程施工质量验收规范（GB50303-2022）； （10）建设工程监理规范（GB/T50319-2013）； （11）建设工程项目管理规范（GB／T50326-2017）。 如以上规范与国家或地方发布的最新标准冲突，以最新标为准。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付款说明：（1）合同签订完成后，成交供应商向采购人开具全额安全文明施工费发票，采购人收到成交供应商开具的发票后三十个工作日内向成交供应商支付相应款项；（2）施工完两个科室后，成交供应商向采购人开具合同金额（扣除暂列金和安全文明施工费）20%的发票，采购人收到成交供应商开具的发票后三十个工作日内向成交供应商支付相应款项；（3）施工完二十个科室后，成交供应商向采购人开具合同金额（扣除暂列金和安全文明施工费）40%的发票，采购人收到成交供应商开具的发票后三十个工作日内向成交供应商支付相应款项；（4）工程完成结算后（审计出定案表 ）三十个工作日内付至结算金额（不含安全文明施工费及暂列金）的97%，剩余3%竣工验收合格两年后进行支付（无利息，扣除相关应扣费用） 付款方式：银行转账（转账前乙方须开具足额满足国家规定的发票，因发票问题导致甲方无法转账的，甲方不负任何责任，由此对甲方造成损失的，乙方应对甲方进行赔偿） 2.本项目无暂列金。</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3.3.2本招标文件中所列主要材料品牌仅为发包人推荐参考，不作为限制性品牌要求。投标人可结合项目实际需求、自身采购渠道及投标报价，自主选择满足设计、规范及质量标准的品牌进行投标响应，招标人不对材料品牌进行限制。发包人推荐主材品牌：瓷薄板，马可波罗、蒙娜丽莎、冠珠或同等档次品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1)企业投标的：营业执照，2)事业单位投标的：事业单位法人证书，3)其他组织投标的：登记证书，4)个体工商户投标的：个体工商户营业执照，5）自然人投标的：身份证；（2）法定代表人或授权代表身份证明：法定代表人（负责人）参加投标的提供法定代表人（负责人）身份证明及身份证；授权代表参加磋商的需提供授权委托书及授权代表身份证。（3）税收缴纳证明：供应商自投标前1年内已缴纳任意时段、任意税种凭证或税务机关开具的完税证明；依法免税的应提供相关文件证明。（4）社保资金缴纳证明：供应商自投标前1年内已缴存的任意时段的社会保障资金缴存单据或社保机构开具的社会保险参保缴费情况证明；依法不需要缴纳社会保障资金的应提供相关文件证明。（5）供应商具备履行合同所必需的设备和专业技术能力承诺书。（6）投标声明书：供应商参加本次采购活动3年内，在经营活动中没有重大违法记录以及未被列入失信被执行人、重大税收违法案件当事人名单、政府采购严重违法失信行为记录名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或2025年度经审计的财务报告（包括“四表一注”即《资产负债表》《利润表》《现金流量表》《所有者权益变动表》及其附注）或者提供响应文件递交截止时间6个月内其基本账户开户银行出具的资信证明；供应商成立不到1年的，可提供企业任意时段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供应商须具备建设行政主管部门核发的建筑工程施工总承包三级（含三级）以上资质或建筑装修装饰工程专业承包二级（含二级）以上资质，并具有有效的安全生产许可证。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拟派项目负责人具备建筑工程专业二级(含二级)以上注册建造师资格，在本单位注册并具有有效的安全生产考核合格证(建安B证)，无不良记录及无在建项目(提供承诺书）。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登记备案截图</w:t>
            </w:r>
          </w:p>
        </w:tc>
        <w:tc>
          <w:tcPr>
            <w:tcW w:type="dxa" w:w="3322"/>
          </w:tcPr>
          <w:p>
            <w:pPr>
              <w:pStyle w:val="null3"/>
            </w:pPr>
            <w:r>
              <w:rPr>
                <w:rFonts w:ascii="仿宋_GB2312" w:hAnsi="仿宋_GB2312" w:cs="仿宋_GB2312" w:eastAsia="仿宋_GB2312"/>
              </w:rPr>
              <w:t>供应商及拟派项目负责人须在“陕西省建筑市场监管与诚信信息发布平台”（https://61.185.253.130:14190/sxjzscqy/serviceportal/portalsite/index/index）中可查询，提供查询截图。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3.异常低价投标审查程序 在评审中出现下列情形之一的，磋商小组应当启动异常低价投标审查程序： （1）投标报价低于全部通过符合性审查供应商投标报价平均值50%（最高不得超过65%）的，即投标报价&lt;全部通过符合性审查供应商投标报价平均值×50%； （2）投标报价低于通过符合性审查的次低报价供应商投标报价50%（最高不得超过65%）的，即投标报价&lt;通过符合性审查的次低报价供应商投标报价×50%； （3）投标报价低于采购项目最高限价45%（最高不得超过65%）的，即投标报价&lt;采购项目最高限价×45%； （4）磋商小组基于专业判断，认为供应商报价过低，有可能影响产品质量或者不能诚信履约的其他情形。 　　相关法律法规对投标人报价有规定的，从其规定。 4.磋商小组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磋商小组应当给予相关投标人的合理时间，一般不少于30分钟。其中，属于第3项情形，投标人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5.异常低价投标审查的启动原因、审查意见和审查结果应当在评审报告中记录，并随投标人提供的相关书面说明及证明材料，以及磋商小组有关互联网浏览、查询历史一并归档。 6.在评标过程中，发现磋商小组未按规定对异常低价开展审查的，采购人、采购代理机构应当予以纠正，拒不改正的，应当及时报告同级财政部门。 7.磋商小组未按规定对异常低价开展审查的，财政部门依法予以纠正并追究评审专家的法律责任。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只能有一个有效报价，不得提交选择性报价，且报价不超过第二章“投标人须知”前附表规定的采购预算金额及最高限价。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响应函 方案、人员、业绩等材料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工期满足文件要求(合格)，工期不满足文件要求(不合格)</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方案完整且切实可行，描述清晰，且能针对性满足本项目得5分；方案内容较完整，描述一般，可操作性一般，基本能够满足本项目得[4，2］分；方案内容较简单，描述简单，可操作性较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充分了解本项目采购需求及安全文明施工相关政策要求，措施健全、合理、完善、详尽，完全满足项目的要求且可行性强的得5分；对本项目采购需求及安全文明施工相关政策要求了解较为充分，措施内容较为完整，描述简单得[4，2］分；对本项目采购需求及安全文明施工相关政策要求不够了解，技术组织措施内容较差，描述不清晰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5分；技术组织措施基本合理满足项目的要求且有一定可行性的得[4，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根据措施内容完整，描述清晰，且能针对性满足项目得5分；措施内容较完整，描述简单，可行性一般，基本满足项目得[4，2］分；措施内容笼统，描述简单，可行性不强得1分；未提供不得分。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有健全可行且完整的技术组织措施，描述清晰，满足项目需求得5分；技术组织措施较完整，描述简单,基本满足项目得[4，2］分；管理制度内容笼统，描述模糊得1分；未提供不得分。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根据施工总平面布置合理完整，清晰，且能针对性满足项目得5分；施工总平面布置较完整，简单，有一定可行性得[4，2］分；施工总平面布置笼统，模糊，可行性不强得1分；未提供不得分。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技术组织措施合理、完善、详尽，完全满足项目的要求且可行性强的得5分；技术组织措施基本合理满足项目的要求且有一定可行性的得[4，2］分；技术组织措施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根据劳动力计划表合理完整，清晰，且能针对性满足项目得5分；劳动力计划表较完整，简单，有一定可行性得[4，2］分；劳动力计划表笼统，模糊，可行性不强得1分；未提供不得分。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机械配备情况及材料完整能充分满足本项目需求得5分；机械配备情况及材料一般，基本能满足本项目需求得[4，2］分；配备情况不够充足，达不到本项目需求得1分；未提供不得分。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项目经理具有工程类相关专业高级及以上职称得3分，中级职称得1分，其他不得分。注：提供相关证书复印件或扫描件并加盖公章。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项目管理机构情况</w:t>
            </w:r>
          </w:p>
        </w:tc>
        <w:tc>
          <w:tcPr>
            <w:tcW w:type="dxa" w:w="2492"/>
          </w:tcPr>
          <w:p>
            <w:pPr>
              <w:pStyle w:val="null3"/>
            </w:pPr>
            <w:r>
              <w:rPr>
                <w:rFonts w:ascii="仿宋_GB2312" w:hAnsi="仿宋_GB2312" w:cs="仿宋_GB2312" w:eastAsia="仿宋_GB2312"/>
              </w:rPr>
              <w:t>①项目管理机构中（除项目经理外）每具有一个工程类相关专业高级及以上职称得2分，中级职称得1分，其他不得分。本项最高得2分。②质量员、安全员（具备安全安全生产考核合格证C2或C3证）、资料员、造价员等技术管理人员有相关证书有一项得1分（每人证书只计一次），本项最高得3分。 注：提供相关证书复印件或扫描件并加盖公章。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实施与管理提出合理化建议，有助于项目规划工作更加顺利进行。内容合理、完善、详尽，完全满足项目的要求且可行性强的得5分；内容基本合理满足项目的要求且有一定可行性的得[4，2］分；内容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供应商投入本项目所使用的施工主要材料中的产品属于政府采购优先采购范围的，则每有一项为节能产品或者环境标志产品的得1分，非节能、环境标志产品的不得分。本项最多得2分。 注：属于优先采购范围内的节能产品或者环境标志产品的，提供国家确定的认证机构出具的、处于有效期之内的节能产品、环境标志产品认证证书复印件加盖供应商公章。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近三年类似业绩（2023年1月至今），提供合同及验收单，时间以验收单签订时间为准。每具备1项得1分，最多得5分。评审依据：以投标人加盖公章的合同、验收单复印件或扫描件为准。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方案、人员、业绩等材料</w:t>
            </w:r>
          </w:p>
        </w:tc>
      </w:tr>
      <w:tr>
        <w:tc>
          <w:tcPr>
            <w:tcW w:type="dxa" w:w="831"/>
            <w:vMerge/>
          </w:tcPr>
          <w:p/>
        </w:tc>
        <w:tc>
          <w:tcPr>
            <w:tcW w:type="dxa" w:w="1661"/>
          </w:tcPr>
          <w:p>
            <w:pPr>
              <w:pStyle w:val="null3"/>
            </w:pPr>
            <w:r>
              <w:rPr>
                <w:rFonts w:ascii="仿宋_GB2312" w:hAnsi="仿宋_GB2312" w:cs="仿宋_GB2312" w:eastAsia="仿宋_GB2312"/>
              </w:rPr>
              <w:t>保修服务承诺</w:t>
            </w:r>
          </w:p>
        </w:tc>
        <w:tc>
          <w:tcPr>
            <w:tcW w:type="dxa" w:w="2492"/>
          </w:tcPr>
          <w:p>
            <w:pPr>
              <w:pStyle w:val="null3"/>
            </w:pPr>
            <w:r>
              <w:rPr>
                <w:rFonts w:ascii="仿宋_GB2312" w:hAnsi="仿宋_GB2312" w:cs="仿宋_GB2312" w:eastAsia="仿宋_GB2312"/>
              </w:rPr>
              <w:t>针对保修期内可能出现的质量问题制定一份切实可行的服务承诺，能及时处理解决质量问题，保证在保修期内正常使用得5分；承诺较完整，简单，有一定可行性得[4，2］分；承诺笼统，模糊，可行性不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方案、人员、业绩等材料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30（注：满足磋商文件要求且磋商价格最低的磋商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（1）根据《《政府采购促进中小企业发展管理办法》的通知》财库〔2020〕46号文件的相关规定，政府采购工程的价格评审优惠对小型和微型企业的价格给予3%的扣除，用扣除后的价格参与评审。 （2）依据《财政部、民政部、中国残疾人联合会关于促进残疾人就业政府采购政策的通知》（财库〔2017〕141号）规定，残疾人福利性单位参加政府采购活动，视同小微企业。残疾人福利性单位属于小微企业的，不重复享受优惠政策。供应商为残疾人福利性单位的，应当提供《残疾人福利性单位声明函》，未提供的不视为小微企业，在评审时不享受价格扣除优惠政策。 （3）以上政策同时具备的仅对其进行一次3%的价格扣除，不重复扣除。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详见附件：方案、人员、业绩等材料</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