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82FBB9">
      <w:pPr>
        <w:spacing w:before="312" w:beforeLines="100" w:after="312" w:afterLines="100"/>
        <w:jc w:val="center"/>
        <w:outlineLvl w:val="1"/>
        <w:rPr>
          <w:rFonts w:hint="eastAsia" w:ascii="方正仿宋_GB2312" w:hAnsi="方正仿宋_GB2312" w:eastAsia="方正仿宋_GB2312" w:cs="方正仿宋_GB2312"/>
          <w:szCs w:val="21"/>
          <w:u w:val="single"/>
        </w:rPr>
      </w:pPr>
      <w:r>
        <w:rPr>
          <w:rFonts w:hint="eastAsia" w:ascii="仿宋_GB2312" w:hAnsi="仿宋_GB2312" w:eastAsia="仿宋_GB2312" w:cs="仿宋_GB2312"/>
          <w:b/>
          <w:bCs/>
          <w:kern w:val="0"/>
          <w:sz w:val="28"/>
          <w:szCs w:val="28"/>
          <w:lang w:val="en-US" w:eastAsia="zh-CN" w:bidi="ar-SA"/>
        </w:rPr>
        <w:t>分项报价表</w:t>
      </w:r>
      <w:r>
        <w:rPr>
          <w:rFonts w:hint="eastAsia" w:ascii="仿宋_GB2312" w:hAnsi="仿宋_GB2312" w:eastAsia="仿宋_GB2312" w:cs="仿宋_GB2312"/>
          <w:kern w:val="0"/>
          <w:sz w:val="21"/>
          <w:szCs w:val="21"/>
          <w:highlight w:val="none"/>
          <w:lang w:val="en-US" w:eastAsia="zh-CN"/>
        </w:rPr>
        <w:t>（此表必须填写）</w:t>
      </w:r>
    </w:p>
    <w:p w14:paraId="6161E23B">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仿宋_GB2312" w:hAnsi="仿宋_GB2312" w:eastAsia="仿宋_GB2312" w:cs="仿宋_GB2312"/>
          <w:kern w:val="0"/>
          <w:sz w:val="21"/>
          <w:szCs w:val="21"/>
          <w:highlight w:val="none"/>
          <w:lang w:val="en-US" w:eastAsia="zh-CN"/>
        </w:rPr>
      </w:pPr>
      <w:r>
        <w:rPr>
          <w:rFonts w:hint="eastAsia" w:ascii="仿宋_GB2312" w:hAnsi="仿宋_GB2312" w:eastAsia="仿宋_GB2312" w:cs="仿宋_GB2312"/>
          <w:kern w:val="0"/>
          <w:sz w:val="21"/>
          <w:szCs w:val="21"/>
          <w:highlight w:val="none"/>
          <w:lang w:val="en-US" w:eastAsia="zh-CN"/>
        </w:rPr>
        <w:t>项目名称:</w:t>
      </w:r>
    </w:p>
    <w:p w14:paraId="05527BD6">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仿宋_GB2312" w:hAnsi="仿宋_GB2312" w:eastAsia="仿宋_GB2312" w:cs="仿宋_GB2312"/>
          <w:kern w:val="0"/>
          <w:sz w:val="21"/>
          <w:szCs w:val="21"/>
          <w:highlight w:val="none"/>
          <w:lang w:val="en-US" w:eastAsia="zh-CN"/>
        </w:rPr>
      </w:pPr>
      <w:r>
        <w:rPr>
          <w:rFonts w:hint="eastAsia" w:ascii="仿宋_GB2312" w:hAnsi="仿宋_GB2312" w:eastAsia="仿宋_GB2312" w:cs="仿宋_GB2312"/>
          <w:kern w:val="0"/>
          <w:sz w:val="21"/>
          <w:szCs w:val="21"/>
          <w:highlight w:val="none"/>
          <w:lang w:val="en-US" w:eastAsia="zh-CN"/>
        </w:rPr>
        <w:t>投标人名称:</w:t>
      </w:r>
    </w:p>
    <w:tbl>
      <w:tblPr>
        <w:tblStyle w:val="3"/>
        <w:tblW w:w="91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09"/>
        <w:gridCol w:w="1476"/>
        <w:gridCol w:w="2768"/>
        <w:gridCol w:w="1745"/>
        <w:gridCol w:w="2595"/>
      </w:tblGrid>
      <w:tr w14:paraId="37B752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9" w:type="dxa"/>
            <w:vAlign w:val="center"/>
          </w:tcPr>
          <w:p w14:paraId="35CB3756">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仿宋_GB2312" w:hAnsi="仿宋_GB2312" w:eastAsia="仿宋_GB2312" w:cs="仿宋_GB2312"/>
                <w:kern w:val="0"/>
                <w:sz w:val="21"/>
                <w:szCs w:val="21"/>
                <w:highlight w:val="none"/>
                <w:lang w:val="en-US" w:eastAsia="zh-CN"/>
              </w:rPr>
            </w:pPr>
            <w:r>
              <w:rPr>
                <w:rFonts w:hint="eastAsia" w:ascii="仿宋_GB2312" w:hAnsi="仿宋_GB2312" w:eastAsia="仿宋_GB2312" w:cs="仿宋_GB2312"/>
                <w:kern w:val="0"/>
                <w:sz w:val="21"/>
                <w:szCs w:val="21"/>
                <w:highlight w:val="none"/>
                <w:lang w:val="en-US" w:eastAsia="zh-CN"/>
              </w:rPr>
              <w:t>序号</w:t>
            </w:r>
          </w:p>
        </w:tc>
        <w:tc>
          <w:tcPr>
            <w:tcW w:w="1476" w:type="dxa"/>
            <w:vAlign w:val="center"/>
          </w:tcPr>
          <w:p w14:paraId="06191136">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仿宋_GB2312" w:hAnsi="仿宋_GB2312" w:eastAsia="仿宋_GB2312" w:cs="仿宋_GB2312"/>
                <w:kern w:val="0"/>
                <w:sz w:val="21"/>
                <w:szCs w:val="21"/>
                <w:highlight w:val="none"/>
                <w:lang w:val="en-US" w:eastAsia="zh-CN"/>
              </w:rPr>
            </w:pPr>
            <w:r>
              <w:rPr>
                <w:rFonts w:hint="eastAsia" w:ascii="仿宋_GB2312" w:hAnsi="仿宋_GB2312" w:eastAsia="仿宋_GB2312" w:cs="仿宋_GB2312"/>
                <w:kern w:val="0"/>
                <w:sz w:val="21"/>
                <w:szCs w:val="21"/>
                <w:highlight w:val="none"/>
                <w:lang w:val="en-US" w:eastAsia="zh-CN"/>
              </w:rPr>
              <w:t>报价内容</w:t>
            </w:r>
          </w:p>
        </w:tc>
        <w:tc>
          <w:tcPr>
            <w:tcW w:w="2768" w:type="dxa"/>
            <w:vAlign w:val="center"/>
          </w:tcPr>
          <w:p w14:paraId="18EF9788">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仿宋_GB2312" w:hAnsi="仿宋_GB2312" w:eastAsia="仿宋_GB2312" w:cs="仿宋_GB2312"/>
                <w:kern w:val="0"/>
                <w:sz w:val="21"/>
                <w:szCs w:val="21"/>
                <w:highlight w:val="none"/>
                <w:lang w:val="en-US" w:eastAsia="zh-CN"/>
              </w:rPr>
            </w:pPr>
            <w:r>
              <w:rPr>
                <w:rFonts w:hint="eastAsia" w:ascii="仿宋_GB2312" w:hAnsi="仿宋_GB2312" w:eastAsia="仿宋_GB2312" w:cs="仿宋_GB2312"/>
                <w:kern w:val="0"/>
                <w:sz w:val="21"/>
                <w:szCs w:val="21"/>
                <w:highlight w:val="none"/>
                <w:lang w:val="en-US" w:eastAsia="zh-CN"/>
              </w:rPr>
              <w:t>报价总类</w:t>
            </w:r>
          </w:p>
        </w:tc>
        <w:tc>
          <w:tcPr>
            <w:tcW w:w="1745" w:type="dxa"/>
            <w:vAlign w:val="center"/>
          </w:tcPr>
          <w:p w14:paraId="72D159AC">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仿宋_GB2312" w:hAnsi="仿宋_GB2312" w:eastAsia="仿宋_GB2312" w:cs="仿宋_GB2312"/>
                <w:kern w:val="0"/>
                <w:sz w:val="21"/>
                <w:szCs w:val="21"/>
                <w:highlight w:val="none"/>
                <w:lang w:val="en-US" w:eastAsia="zh-CN"/>
              </w:rPr>
            </w:pPr>
            <w:r>
              <w:rPr>
                <w:rFonts w:hint="eastAsia" w:ascii="仿宋_GB2312" w:hAnsi="仿宋_GB2312" w:eastAsia="仿宋_GB2312" w:cs="仿宋_GB2312"/>
                <w:kern w:val="0"/>
                <w:sz w:val="21"/>
                <w:szCs w:val="21"/>
                <w:highlight w:val="none"/>
                <w:lang w:val="en-US" w:eastAsia="zh-CN"/>
              </w:rPr>
              <w:t>单价</w:t>
            </w:r>
          </w:p>
        </w:tc>
        <w:tc>
          <w:tcPr>
            <w:tcW w:w="2595" w:type="dxa"/>
            <w:vAlign w:val="center"/>
          </w:tcPr>
          <w:p w14:paraId="3749EAFE">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仿宋_GB2312" w:hAnsi="仿宋_GB2312" w:eastAsia="仿宋_GB2312" w:cs="仿宋_GB2312"/>
                <w:kern w:val="0"/>
                <w:sz w:val="21"/>
                <w:szCs w:val="21"/>
                <w:highlight w:val="none"/>
                <w:lang w:val="en-US" w:eastAsia="zh-CN"/>
              </w:rPr>
            </w:pPr>
            <w:r>
              <w:rPr>
                <w:rFonts w:hint="eastAsia" w:ascii="仿宋_GB2312" w:hAnsi="仿宋_GB2312" w:eastAsia="仿宋_GB2312" w:cs="仿宋_GB2312"/>
                <w:kern w:val="0"/>
                <w:sz w:val="21"/>
                <w:szCs w:val="21"/>
                <w:highlight w:val="none"/>
                <w:lang w:val="en-US" w:eastAsia="zh-CN"/>
              </w:rPr>
              <w:t>最高限价</w:t>
            </w:r>
          </w:p>
        </w:tc>
      </w:tr>
      <w:tr w14:paraId="1D47E4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9" w:type="dxa"/>
            <w:vAlign w:val="center"/>
          </w:tcPr>
          <w:p w14:paraId="7CDCD366">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仿宋_GB2312" w:hAnsi="仿宋_GB2312" w:eastAsia="仿宋_GB2312" w:cs="仿宋_GB2312"/>
                <w:kern w:val="0"/>
                <w:sz w:val="21"/>
                <w:szCs w:val="21"/>
                <w:highlight w:val="none"/>
                <w:lang w:val="en-US" w:eastAsia="zh-CN"/>
              </w:rPr>
            </w:pPr>
          </w:p>
          <w:p w14:paraId="3B6CE5C5">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仿宋_GB2312" w:hAnsi="仿宋_GB2312" w:eastAsia="仿宋_GB2312" w:cs="仿宋_GB2312"/>
                <w:kern w:val="0"/>
                <w:sz w:val="21"/>
                <w:szCs w:val="21"/>
                <w:highlight w:val="none"/>
                <w:lang w:val="en-US" w:eastAsia="zh-CN"/>
              </w:rPr>
            </w:pPr>
            <w:r>
              <w:rPr>
                <w:rFonts w:hint="eastAsia" w:ascii="仿宋_GB2312" w:hAnsi="仿宋_GB2312" w:eastAsia="仿宋_GB2312" w:cs="仿宋_GB2312"/>
                <w:kern w:val="0"/>
                <w:sz w:val="21"/>
                <w:szCs w:val="21"/>
                <w:highlight w:val="none"/>
                <w:lang w:val="en-US" w:eastAsia="zh-CN"/>
              </w:rPr>
              <w:t>1</w:t>
            </w:r>
          </w:p>
        </w:tc>
        <w:tc>
          <w:tcPr>
            <w:tcW w:w="1476" w:type="dxa"/>
            <w:vAlign w:val="center"/>
          </w:tcPr>
          <w:p w14:paraId="41B626E9">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仿宋_GB2312" w:hAnsi="仿宋_GB2312" w:eastAsia="仿宋_GB2312" w:cs="仿宋_GB2312"/>
                <w:kern w:val="0"/>
                <w:sz w:val="21"/>
                <w:szCs w:val="21"/>
                <w:highlight w:val="none"/>
                <w:lang w:val="en-US" w:eastAsia="zh-CN"/>
              </w:rPr>
            </w:pPr>
            <w:r>
              <w:rPr>
                <w:rFonts w:hint="eastAsia" w:ascii="仿宋_GB2312" w:hAnsi="仿宋_GB2312" w:eastAsia="仿宋_GB2312" w:cs="仿宋_GB2312"/>
                <w:kern w:val="0"/>
                <w:sz w:val="21"/>
                <w:szCs w:val="21"/>
                <w:highlight w:val="none"/>
                <w:lang w:val="en-US" w:eastAsia="zh-CN"/>
              </w:rPr>
              <w:t>综合定额</w:t>
            </w:r>
          </w:p>
          <w:p w14:paraId="207B83E4">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仿宋_GB2312" w:hAnsi="仿宋_GB2312" w:eastAsia="仿宋_GB2312" w:cs="仿宋_GB2312"/>
                <w:kern w:val="0"/>
                <w:sz w:val="21"/>
                <w:szCs w:val="21"/>
                <w:highlight w:val="none"/>
                <w:lang w:val="en-US" w:eastAsia="zh-CN"/>
              </w:rPr>
            </w:pPr>
            <w:r>
              <w:rPr>
                <w:rFonts w:hint="eastAsia" w:ascii="仿宋_GB2312" w:hAnsi="仿宋_GB2312" w:eastAsia="仿宋_GB2312" w:cs="仿宋_GB2312"/>
                <w:kern w:val="0"/>
                <w:sz w:val="21"/>
                <w:szCs w:val="21"/>
                <w:highlight w:val="none"/>
                <w:lang w:val="en-US" w:eastAsia="zh-CN"/>
              </w:rPr>
              <w:t>（含税）</w:t>
            </w:r>
          </w:p>
        </w:tc>
        <w:tc>
          <w:tcPr>
            <w:tcW w:w="2768" w:type="dxa"/>
            <w:vAlign w:val="center"/>
          </w:tcPr>
          <w:p w14:paraId="3D662650">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仿宋_GB2312" w:hAnsi="仿宋_GB2312" w:eastAsia="仿宋_GB2312" w:cs="仿宋_GB2312"/>
                <w:kern w:val="0"/>
                <w:sz w:val="21"/>
                <w:szCs w:val="21"/>
                <w:highlight w:val="none"/>
                <w:lang w:val="en-US" w:eastAsia="zh-CN"/>
              </w:rPr>
            </w:pPr>
          </w:p>
          <w:p w14:paraId="7E2A1C05">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仿宋_GB2312" w:hAnsi="仿宋_GB2312" w:eastAsia="仿宋_GB2312" w:cs="仿宋_GB2312"/>
                <w:kern w:val="0"/>
                <w:sz w:val="21"/>
                <w:szCs w:val="21"/>
                <w:highlight w:val="none"/>
                <w:lang w:val="en-US" w:eastAsia="zh-CN"/>
              </w:rPr>
            </w:pPr>
            <w:r>
              <w:rPr>
                <w:rFonts w:hint="eastAsia" w:ascii="仿宋_GB2312" w:hAnsi="仿宋_GB2312" w:eastAsia="仿宋_GB2312" w:cs="仿宋_GB2312"/>
                <w:kern w:val="0"/>
                <w:sz w:val="21"/>
                <w:szCs w:val="21"/>
                <w:highlight w:val="none"/>
                <w:lang w:val="en-US" w:eastAsia="zh-CN"/>
              </w:rPr>
              <w:t>/</w:t>
            </w:r>
          </w:p>
        </w:tc>
        <w:tc>
          <w:tcPr>
            <w:tcW w:w="1745" w:type="dxa"/>
            <w:vAlign w:val="center"/>
          </w:tcPr>
          <w:p w14:paraId="4F8C14F1">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仿宋_GB2312" w:hAnsi="仿宋_GB2312" w:eastAsia="仿宋_GB2312" w:cs="仿宋_GB2312"/>
                <w:kern w:val="0"/>
                <w:sz w:val="21"/>
                <w:szCs w:val="21"/>
                <w:highlight w:val="none"/>
                <w:lang w:val="en-US" w:eastAsia="zh-CN"/>
              </w:rPr>
            </w:pPr>
          </w:p>
          <w:p w14:paraId="2D5A2502">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仿宋_GB2312" w:hAnsi="仿宋_GB2312" w:eastAsia="仿宋_GB2312" w:cs="仿宋_GB2312"/>
                <w:kern w:val="0"/>
                <w:sz w:val="21"/>
                <w:szCs w:val="21"/>
                <w:highlight w:val="none"/>
                <w:lang w:val="en-US" w:eastAsia="zh-CN"/>
              </w:rPr>
            </w:pPr>
            <w:r>
              <w:rPr>
                <w:rFonts w:hint="eastAsia" w:ascii="仿宋_GB2312" w:hAnsi="仿宋_GB2312" w:eastAsia="仿宋_GB2312" w:cs="仿宋_GB2312"/>
                <w:kern w:val="0"/>
                <w:sz w:val="21"/>
                <w:szCs w:val="21"/>
                <w:highlight w:val="none"/>
                <w:u w:val="single"/>
                <w:lang w:val="en-US" w:eastAsia="zh-CN"/>
              </w:rPr>
              <w:t xml:space="preserve">    </w:t>
            </w:r>
            <w:r>
              <w:rPr>
                <w:rFonts w:hint="eastAsia" w:ascii="仿宋_GB2312" w:hAnsi="仿宋_GB2312" w:eastAsia="仿宋_GB2312" w:cs="仿宋_GB2312"/>
                <w:kern w:val="0"/>
                <w:sz w:val="21"/>
                <w:szCs w:val="21"/>
                <w:highlight w:val="none"/>
                <w:lang w:val="en-US" w:eastAsia="zh-CN"/>
              </w:rPr>
              <w:t>元/人/天</w:t>
            </w:r>
          </w:p>
        </w:tc>
        <w:tc>
          <w:tcPr>
            <w:tcW w:w="2595" w:type="dxa"/>
            <w:vAlign w:val="center"/>
          </w:tcPr>
          <w:p w14:paraId="13F7AD09">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hint="eastAsia" w:ascii="仿宋_GB2312" w:hAnsi="仿宋_GB2312" w:eastAsia="仿宋_GB2312" w:cs="仿宋_GB2312"/>
                <w:kern w:val="0"/>
                <w:sz w:val="21"/>
                <w:szCs w:val="21"/>
                <w:highlight w:val="none"/>
                <w:lang w:val="en-US" w:eastAsia="zh-CN"/>
              </w:rPr>
            </w:pPr>
            <w:r>
              <w:rPr>
                <w:rFonts w:hint="eastAsia" w:ascii="仿宋_GB2312" w:hAnsi="仿宋_GB2312" w:eastAsia="仿宋_GB2312" w:cs="仿宋_GB2312"/>
                <w:kern w:val="0"/>
                <w:sz w:val="21"/>
                <w:szCs w:val="21"/>
                <w:highlight w:val="none"/>
                <w:lang w:val="en-US" w:eastAsia="zh-CN"/>
              </w:rPr>
              <w:t>单价最高限价不得高于400元/人/天，否则按无效标处理。</w:t>
            </w:r>
          </w:p>
        </w:tc>
      </w:tr>
      <w:tr w14:paraId="15D346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4" w:hRule="atLeast"/>
          <w:jc w:val="center"/>
        </w:trPr>
        <w:tc>
          <w:tcPr>
            <w:tcW w:w="609" w:type="dxa"/>
            <w:vMerge w:val="restart"/>
            <w:vAlign w:val="center"/>
          </w:tcPr>
          <w:p w14:paraId="0EE81593">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仿宋_GB2312" w:hAnsi="仿宋_GB2312" w:eastAsia="仿宋_GB2312" w:cs="仿宋_GB2312"/>
                <w:kern w:val="0"/>
                <w:sz w:val="21"/>
                <w:szCs w:val="21"/>
                <w:highlight w:val="none"/>
                <w:lang w:val="en-US" w:eastAsia="zh-CN"/>
              </w:rPr>
            </w:pPr>
            <w:r>
              <w:rPr>
                <w:rFonts w:hint="eastAsia" w:ascii="仿宋_GB2312" w:hAnsi="仿宋_GB2312" w:eastAsia="仿宋_GB2312" w:cs="仿宋_GB2312"/>
                <w:kern w:val="0"/>
                <w:sz w:val="21"/>
                <w:szCs w:val="21"/>
                <w:highlight w:val="none"/>
                <w:lang w:val="en-US" w:eastAsia="zh-CN"/>
              </w:rPr>
              <w:t>2</w:t>
            </w:r>
          </w:p>
        </w:tc>
        <w:tc>
          <w:tcPr>
            <w:tcW w:w="1476" w:type="dxa"/>
            <w:vMerge w:val="restart"/>
            <w:vAlign w:val="center"/>
          </w:tcPr>
          <w:p w14:paraId="304FE43B">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仿宋_GB2312" w:hAnsi="仿宋_GB2312" w:eastAsia="仿宋_GB2312" w:cs="仿宋_GB2312"/>
                <w:kern w:val="0"/>
                <w:sz w:val="21"/>
                <w:szCs w:val="21"/>
                <w:highlight w:val="none"/>
                <w:lang w:val="en-US" w:eastAsia="zh-CN"/>
              </w:rPr>
            </w:pPr>
            <w:r>
              <w:rPr>
                <w:rFonts w:hint="eastAsia" w:ascii="仿宋_GB2312" w:hAnsi="仿宋_GB2312" w:eastAsia="仿宋_GB2312" w:cs="仿宋_GB2312"/>
                <w:kern w:val="0"/>
                <w:sz w:val="21"/>
                <w:szCs w:val="21"/>
                <w:highlight w:val="none"/>
                <w:lang w:val="en-US" w:eastAsia="zh-CN"/>
              </w:rPr>
              <w:t>师资费单价（不含税）</w:t>
            </w:r>
          </w:p>
        </w:tc>
        <w:tc>
          <w:tcPr>
            <w:tcW w:w="2768" w:type="dxa"/>
            <w:shd w:val="clear" w:color="auto" w:fill="auto"/>
            <w:vAlign w:val="center"/>
          </w:tcPr>
          <w:p w14:paraId="152FDF1B">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仿宋_GB2312" w:hAnsi="仿宋_GB2312" w:eastAsia="仿宋_GB2312" w:cs="仿宋_GB2312"/>
                <w:kern w:val="0"/>
                <w:sz w:val="21"/>
                <w:szCs w:val="21"/>
                <w:highlight w:val="none"/>
                <w:lang w:val="en-US" w:eastAsia="zh-CN"/>
              </w:rPr>
            </w:pPr>
          </w:p>
          <w:p w14:paraId="4EEBA4E0">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仿宋_GB2312" w:hAnsi="仿宋_GB2312" w:eastAsia="仿宋_GB2312" w:cs="仿宋_GB2312"/>
                <w:kern w:val="0"/>
                <w:sz w:val="21"/>
                <w:szCs w:val="21"/>
                <w:highlight w:val="none"/>
                <w:lang w:val="en-US" w:eastAsia="zh-CN"/>
              </w:rPr>
            </w:pPr>
          </w:p>
          <w:p w14:paraId="08858292">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仿宋_GB2312" w:hAnsi="仿宋_GB2312" w:eastAsia="仿宋_GB2312" w:cs="仿宋_GB2312"/>
                <w:kern w:val="0"/>
                <w:sz w:val="21"/>
                <w:szCs w:val="21"/>
                <w:highlight w:val="none"/>
                <w:lang w:val="en-US" w:eastAsia="zh-CN"/>
              </w:rPr>
            </w:pPr>
            <w:r>
              <w:rPr>
                <w:rFonts w:hint="eastAsia" w:ascii="仿宋_GB2312" w:hAnsi="仿宋_GB2312" w:eastAsia="仿宋_GB2312" w:cs="仿宋_GB2312"/>
                <w:kern w:val="0"/>
                <w:sz w:val="21"/>
                <w:szCs w:val="21"/>
                <w:highlight w:val="none"/>
                <w:lang w:val="en-US" w:eastAsia="zh-CN"/>
              </w:rPr>
              <w:t>正高级技术职称专业人员</w:t>
            </w:r>
          </w:p>
          <w:p w14:paraId="308C49E4">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仿宋_GB2312" w:hAnsi="仿宋_GB2312" w:eastAsia="仿宋_GB2312" w:cs="仿宋_GB2312"/>
                <w:kern w:val="0"/>
                <w:sz w:val="21"/>
                <w:szCs w:val="21"/>
                <w:highlight w:val="none"/>
                <w:lang w:val="en-US" w:eastAsia="zh-CN"/>
              </w:rPr>
            </w:pPr>
            <w:r>
              <w:rPr>
                <w:rFonts w:hint="eastAsia" w:ascii="仿宋_GB2312" w:hAnsi="仿宋_GB2312" w:eastAsia="仿宋_GB2312" w:cs="仿宋_GB2312"/>
                <w:kern w:val="0"/>
                <w:sz w:val="21"/>
                <w:szCs w:val="21"/>
                <w:highlight w:val="none"/>
                <w:lang w:val="en-US" w:eastAsia="zh-CN"/>
              </w:rPr>
              <w:t>每学时单价</w:t>
            </w:r>
          </w:p>
          <w:p w14:paraId="0E63607A">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仿宋_GB2312" w:hAnsi="仿宋_GB2312" w:eastAsia="仿宋_GB2312" w:cs="仿宋_GB2312"/>
                <w:kern w:val="0"/>
                <w:sz w:val="21"/>
                <w:szCs w:val="21"/>
                <w:highlight w:val="none"/>
                <w:lang w:val="en-US" w:eastAsia="zh-Hans"/>
              </w:rPr>
            </w:pPr>
          </w:p>
        </w:tc>
        <w:tc>
          <w:tcPr>
            <w:tcW w:w="1745" w:type="dxa"/>
            <w:shd w:val="clear" w:color="auto" w:fill="auto"/>
            <w:vAlign w:val="center"/>
          </w:tcPr>
          <w:p w14:paraId="1A1295D2">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仿宋_GB2312" w:hAnsi="仿宋_GB2312" w:eastAsia="仿宋_GB2312" w:cs="仿宋_GB2312"/>
                <w:kern w:val="0"/>
                <w:sz w:val="21"/>
                <w:szCs w:val="21"/>
                <w:highlight w:val="none"/>
                <w:lang w:val="en-US" w:eastAsia="zh-CN"/>
              </w:rPr>
            </w:pPr>
          </w:p>
          <w:p w14:paraId="35300DA1">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仿宋_GB2312" w:hAnsi="仿宋_GB2312" w:eastAsia="仿宋_GB2312" w:cs="仿宋_GB2312"/>
                <w:kern w:val="0"/>
                <w:sz w:val="21"/>
                <w:szCs w:val="21"/>
                <w:highlight w:val="none"/>
                <w:lang w:val="en-US" w:eastAsia="zh-CN"/>
              </w:rPr>
            </w:pPr>
          </w:p>
          <w:p w14:paraId="22893AB6">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仿宋_GB2312" w:hAnsi="仿宋_GB2312" w:eastAsia="仿宋_GB2312" w:cs="仿宋_GB2312"/>
                <w:kern w:val="0"/>
                <w:sz w:val="21"/>
                <w:szCs w:val="21"/>
                <w:highlight w:val="none"/>
                <w:lang w:val="en-US" w:eastAsia="zh-CN"/>
              </w:rPr>
            </w:pPr>
            <w:r>
              <w:rPr>
                <w:rFonts w:hint="eastAsia" w:ascii="仿宋_GB2312" w:hAnsi="仿宋_GB2312" w:eastAsia="仿宋_GB2312" w:cs="仿宋_GB2312"/>
                <w:kern w:val="0"/>
                <w:sz w:val="21"/>
                <w:szCs w:val="21"/>
                <w:highlight w:val="none"/>
                <w:u w:val="single"/>
                <w:lang w:val="en-US" w:eastAsia="zh-CN"/>
              </w:rPr>
              <w:t xml:space="preserve">    </w:t>
            </w:r>
            <w:r>
              <w:rPr>
                <w:rFonts w:hint="eastAsia" w:ascii="仿宋_GB2312" w:hAnsi="仿宋_GB2312" w:eastAsia="仿宋_GB2312" w:cs="仿宋_GB2312"/>
                <w:kern w:val="0"/>
                <w:sz w:val="21"/>
                <w:szCs w:val="21"/>
                <w:highlight w:val="none"/>
                <w:lang w:val="en-US" w:eastAsia="zh-CN"/>
              </w:rPr>
              <w:t>元/课时/人</w:t>
            </w:r>
          </w:p>
          <w:p w14:paraId="6FAD0A62">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仿宋_GB2312" w:hAnsi="仿宋_GB2312" w:eastAsia="仿宋_GB2312" w:cs="仿宋_GB2312"/>
                <w:kern w:val="0"/>
                <w:sz w:val="21"/>
                <w:szCs w:val="21"/>
                <w:highlight w:val="none"/>
                <w:lang w:val="en-US" w:eastAsia="zh-Hans"/>
              </w:rPr>
            </w:pPr>
          </w:p>
        </w:tc>
        <w:tc>
          <w:tcPr>
            <w:tcW w:w="2595" w:type="dxa"/>
            <w:shd w:val="clear" w:color="auto" w:fill="auto"/>
            <w:vAlign w:val="center"/>
          </w:tcPr>
          <w:p w14:paraId="29F55E90">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hint="eastAsia" w:ascii="仿宋_GB2312" w:hAnsi="仿宋_GB2312" w:eastAsia="仿宋_GB2312" w:cs="仿宋_GB2312"/>
                <w:kern w:val="0"/>
                <w:sz w:val="21"/>
                <w:szCs w:val="21"/>
                <w:highlight w:val="none"/>
                <w:lang w:val="en-US" w:eastAsia="zh-Hans"/>
              </w:rPr>
            </w:pPr>
            <w:r>
              <w:rPr>
                <w:rFonts w:hint="eastAsia" w:ascii="仿宋_GB2312" w:hAnsi="仿宋_GB2312" w:eastAsia="仿宋_GB2312" w:cs="仿宋_GB2312"/>
                <w:kern w:val="0"/>
                <w:sz w:val="21"/>
                <w:szCs w:val="21"/>
                <w:highlight w:val="none"/>
                <w:lang w:val="en-US" w:eastAsia="zh-CN"/>
              </w:rPr>
              <w:t>正高级技术职称专业人员每学时最高上限价不超过1000元，并且不得0报价，否则按无效标处理。</w:t>
            </w:r>
          </w:p>
        </w:tc>
      </w:tr>
      <w:tr w14:paraId="0E3FE6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5" w:hRule="atLeast"/>
          <w:jc w:val="center"/>
        </w:trPr>
        <w:tc>
          <w:tcPr>
            <w:tcW w:w="609" w:type="dxa"/>
            <w:vMerge w:val="continue"/>
            <w:vAlign w:val="center"/>
          </w:tcPr>
          <w:p w14:paraId="463122AB">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仿宋_GB2312" w:hAnsi="仿宋_GB2312" w:eastAsia="仿宋_GB2312" w:cs="仿宋_GB2312"/>
                <w:kern w:val="0"/>
                <w:sz w:val="21"/>
                <w:szCs w:val="21"/>
                <w:highlight w:val="none"/>
                <w:lang w:val="en-US" w:eastAsia="zh-CN"/>
              </w:rPr>
            </w:pPr>
          </w:p>
        </w:tc>
        <w:tc>
          <w:tcPr>
            <w:tcW w:w="1476" w:type="dxa"/>
            <w:vMerge w:val="continue"/>
            <w:vAlign w:val="center"/>
          </w:tcPr>
          <w:p w14:paraId="454FCA3C">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仿宋_GB2312" w:hAnsi="仿宋_GB2312" w:eastAsia="仿宋_GB2312" w:cs="仿宋_GB2312"/>
                <w:kern w:val="0"/>
                <w:sz w:val="21"/>
                <w:szCs w:val="21"/>
                <w:highlight w:val="none"/>
                <w:lang w:val="en-US" w:eastAsia="zh-Hans"/>
              </w:rPr>
            </w:pPr>
          </w:p>
        </w:tc>
        <w:tc>
          <w:tcPr>
            <w:tcW w:w="2768" w:type="dxa"/>
            <w:vAlign w:val="center"/>
          </w:tcPr>
          <w:p w14:paraId="043F2932">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仿宋_GB2312" w:hAnsi="仿宋_GB2312" w:eastAsia="仿宋_GB2312" w:cs="仿宋_GB2312"/>
                <w:kern w:val="0"/>
                <w:sz w:val="21"/>
                <w:szCs w:val="21"/>
                <w:highlight w:val="none"/>
                <w:lang w:val="en-US" w:eastAsia="zh-CN"/>
              </w:rPr>
            </w:pPr>
          </w:p>
          <w:p w14:paraId="2184FA38">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仿宋_GB2312" w:hAnsi="仿宋_GB2312" w:eastAsia="仿宋_GB2312" w:cs="仿宋_GB2312"/>
                <w:kern w:val="0"/>
                <w:sz w:val="21"/>
                <w:szCs w:val="21"/>
                <w:highlight w:val="none"/>
                <w:lang w:val="en-US" w:eastAsia="zh-CN"/>
              </w:rPr>
            </w:pPr>
            <w:r>
              <w:rPr>
                <w:rFonts w:hint="eastAsia" w:ascii="仿宋_GB2312" w:hAnsi="仿宋_GB2312" w:eastAsia="仿宋_GB2312" w:cs="仿宋_GB2312"/>
                <w:kern w:val="0"/>
                <w:sz w:val="21"/>
                <w:szCs w:val="21"/>
                <w:highlight w:val="none"/>
                <w:lang w:val="en-US" w:eastAsia="zh-CN"/>
              </w:rPr>
              <w:t>副高级技术职称专业人员</w:t>
            </w:r>
          </w:p>
          <w:p w14:paraId="754AEB9D">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仿宋_GB2312" w:hAnsi="仿宋_GB2312" w:eastAsia="仿宋_GB2312" w:cs="仿宋_GB2312"/>
                <w:kern w:val="0"/>
                <w:sz w:val="21"/>
                <w:szCs w:val="21"/>
                <w:highlight w:val="none"/>
                <w:lang w:val="en-US" w:eastAsia="zh-CN"/>
              </w:rPr>
            </w:pPr>
            <w:r>
              <w:rPr>
                <w:rFonts w:hint="eastAsia" w:ascii="仿宋_GB2312" w:hAnsi="仿宋_GB2312" w:eastAsia="仿宋_GB2312" w:cs="仿宋_GB2312"/>
                <w:kern w:val="0"/>
                <w:sz w:val="21"/>
                <w:szCs w:val="21"/>
                <w:highlight w:val="none"/>
                <w:lang w:val="en-US" w:eastAsia="zh-CN"/>
              </w:rPr>
              <w:t>每学时单价</w:t>
            </w:r>
          </w:p>
          <w:p w14:paraId="40BE1143">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仿宋_GB2312" w:hAnsi="仿宋_GB2312" w:eastAsia="仿宋_GB2312" w:cs="仿宋_GB2312"/>
                <w:kern w:val="0"/>
                <w:sz w:val="21"/>
                <w:szCs w:val="21"/>
                <w:highlight w:val="none"/>
                <w:lang w:val="en-US" w:eastAsia="zh-Hans"/>
              </w:rPr>
            </w:pPr>
          </w:p>
        </w:tc>
        <w:tc>
          <w:tcPr>
            <w:tcW w:w="1745" w:type="dxa"/>
            <w:vAlign w:val="center"/>
          </w:tcPr>
          <w:p w14:paraId="0B64F505">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仿宋_GB2312" w:hAnsi="仿宋_GB2312" w:eastAsia="仿宋_GB2312" w:cs="仿宋_GB2312"/>
                <w:kern w:val="0"/>
                <w:sz w:val="21"/>
                <w:szCs w:val="21"/>
                <w:highlight w:val="none"/>
                <w:lang w:val="en-US" w:eastAsia="zh-CN"/>
              </w:rPr>
            </w:pPr>
          </w:p>
          <w:p w14:paraId="6BFDB907">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仿宋_GB2312" w:hAnsi="仿宋_GB2312" w:eastAsia="仿宋_GB2312" w:cs="仿宋_GB2312"/>
                <w:kern w:val="0"/>
                <w:sz w:val="21"/>
                <w:szCs w:val="21"/>
                <w:highlight w:val="none"/>
                <w:lang w:val="en-US" w:eastAsia="zh-CN"/>
              </w:rPr>
            </w:pPr>
          </w:p>
          <w:p w14:paraId="09100C47">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仿宋_GB2312" w:hAnsi="仿宋_GB2312" w:eastAsia="仿宋_GB2312" w:cs="仿宋_GB2312"/>
                <w:kern w:val="0"/>
                <w:sz w:val="21"/>
                <w:szCs w:val="21"/>
                <w:highlight w:val="none"/>
                <w:lang w:val="en-US" w:eastAsia="zh-CN"/>
              </w:rPr>
            </w:pPr>
            <w:r>
              <w:rPr>
                <w:rFonts w:hint="eastAsia" w:ascii="仿宋_GB2312" w:hAnsi="仿宋_GB2312" w:eastAsia="仿宋_GB2312" w:cs="仿宋_GB2312"/>
                <w:kern w:val="0"/>
                <w:sz w:val="21"/>
                <w:szCs w:val="21"/>
                <w:highlight w:val="none"/>
                <w:u w:val="single"/>
                <w:lang w:val="en-US" w:eastAsia="zh-CN"/>
              </w:rPr>
              <w:t xml:space="preserve">   </w:t>
            </w:r>
            <w:r>
              <w:rPr>
                <w:rFonts w:hint="eastAsia" w:ascii="仿宋_GB2312" w:hAnsi="仿宋_GB2312" w:eastAsia="仿宋_GB2312" w:cs="仿宋_GB2312"/>
                <w:kern w:val="0"/>
                <w:sz w:val="21"/>
                <w:szCs w:val="21"/>
                <w:highlight w:val="none"/>
                <w:lang w:val="en-US" w:eastAsia="zh-CN"/>
              </w:rPr>
              <w:t>元/课时/人</w:t>
            </w:r>
          </w:p>
          <w:p w14:paraId="3509FBBB">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仿宋_GB2312" w:hAnsi="仿宋_GB2312" w:eastAsia="仿宋_GB2312" w:cs="仿宋_GB2312"/>
                <w:kern w:val="0"/>
                <w:sz w:val="21"/>
                <w:szCs w:val="21"/>
                <w:highlight w:val="none"/>
                <w:lang w:val="en-US" w:eastAsia="zh-Hans"/>
              </w:rPr>
            </w:pPr>
          </w:p>
        </w:tc>
        <w:tc>
          <w:tcPr>
            <w:tcW w:w="2595" w:type="dxa"/>
            <w:vAlign w:val="center"/>
          </w:tcPr>
          <w:p w14:paraId="0CEE1225">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hint="eastAsia" w:ascii="仿宋_GB2312" w:hAnsi="仿宋_GB2312" w:eastAsia="仿宋_GB2312" w:cs="仿宋_GB2312"/>
                <w:kern w:val="0"/>
                <w:sz w:val="21"/>
                <w:szCs w:val="21"/>
                <w:highlight w:val="none"/>
                <w:lang w:val="en-US" w:eastAsia="zh-Hans"/>
              </w:rPr>
            </w:pPr>
            <w:r>
              <w:rPr>
                <w:rFonts w:hint="eastAsia" w:ascii="仿宋_GB2312" w:hAnsi="仿宋_GB2312" w:eastAsia="仿宋_GB2312" w:cs="仿宋_GB2312"/>
                <w:kern w:val="0"/>
                <w:sz w:val="21"/>
                <w:szCs w:val="21"/>
                <w:highlight w:val="none"/>
                <w:lang w:val="en-US" w:eastAsia="zh-CN"/>
              </w:rPr>
              <w:t>副高级技术职称专业人员每学时最高上限价不超过500元，并且不得0报价，否则按无效标处理。</w:t>
            </w:r>
          </w:p>
        </w:tc>
      </w:tr>
      <w:tr w14:paraId="49DDD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5" w:hRule="atLeast"/>
          <w:jc w:val="center"/>
        </w:trPr>
        <w:tc>
          <w:tcPr>
            <w:tcW w:w="609" w:type="dxa"/>
            <w:vMerge w:val="continue"/>
            <w:vAlign w:val="center"/>
          </w:tcPr>
          <w:p w14:paraId="44676C3B">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仿宋_GB2312" w:hAnsi="仿宋_GB2312" w:eastAsia="仿宋_GB2312" w:cs="仿宋_GB2312"/>
                <w:kern w:val="0"/>
                <w:sz w:val="21"/>
                <w:szCs w:val="21"/>
                <w:highlight w:val="none"/>
                <w:lang w:val="en-US" w:eastAsia="zh-CN"/>
              </w:rPr>
            </w:pPr>
          </w:p>
        </w:tc>
        <w:tc>
          <w:tcPr>
            <w:tcW w:w="1476" w:type="dxa"/>
            <w:vMerge w:val="continue"/>
            <w:vAlign w:val="center"/>
          </w:tcPr>
          <w:p w14:paraId="310BBCDC">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仿宋_GB2312" w:hAnsi="仿宋_GB2312" w:eastAsia="仿宋_GB2312" w:cs="仿宋_GB2312"/>
                <w:kern w:val="0"/>
                <w:sz w:val="21"/>
                <w:szCs w:val="21"/>
                <w:highlight w:val="none"/>
                <w:lang w:val="en-US" w:eastAsia="zh-Hans"/>
              </w:rPr>
            </w:pPr>
          </w:p>
        </w:tc>
        <w:tc>
          <w:tcPr>
            <w:tcW w:w="2768" w:type="dxa"/>
            <w:vAlign w:val="center"/>
          </w:tcPr>
          <w:p w14:paraId="1FD77066">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仿宋_GB2312" w:hAnsi="仿宋_GB2312" w:eastAsia="仿宋_GB2312" w:cs="仿宋_GB2312"/>
                <w:kern w:val="0"/>
                <w:sz w:val="21"/>
                <w:szCs w:val="21"/>
                <w:highlight w:val="none"/>
                <w:lang w:val="en-US" w:eastAsia="zh-Hans"/>
              </w:rPr>
            </w:pPr>
            <w:r>
              <w:rPr>
                <w:rFonts w:hint="eastAsia" w:ascii="仿宋_GB2312" w:hAnsi="仿宋_GB2312" w:eastAsia="仿宋_GB2312" w:cs="仿宋_GB2312"/>
                <w:kern w:val="0"/>
                <w:sz w:val="21"/>
                <w:szCs w:val="21"/>
                <w:highlight w:val="none"/>
                <w:lang w:val="en-US" w:eastAsia="zh-Hans"/>
              </w:rPr>
              <w:t>院士、全国知名专家</w:t>
            </w:r>
          </w:p>
          <w:p w14:paraId="5FEF2360">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仿宋_GB2312" w:hAnsi="仿宋_GB2312" w:eastAsia="仿宋_GB2312" w:cs="仿宋_GB2312"/>
                <w:kern w:val="0"/>
                <w:sz w:val="21"/>
                <w:szCs w:val="21"/>
                <w:highlight w:val="none"/>
                <w:lang w:val="en-US" w:eastAsia="zh-Hans"/>
              </w:rPr>
            </w:pPr>
            <w:r>
              <w:rPr>
                <w:rFonts w:hint="eastAsia" w:ascii="仿宋_GB2312" w:hAnsi="仿宋_GB2312" w:eastAsia="仿宋_GB2312" w:cs="仿宋_GB2312"/>
                <w:kern w:val="0"/>
                <w:sz w:val="21"/>
                <w:szCs w:val="21"/>
                <w:highlight w:val="none"/>
                <w:lang w:val="en-US" w:eastAsia="zh-Hans"/>
              </w:rPr>
              <w:t>每学时单价</w:t>
            </w:r>
          </w:p>
        </w:tc>
        <w:tc>
          <w:tcPr>
            <w:tcW w:w="1745" w:type="dxa"/>
            <w:vAlign w:val="center"/>
          </w:tcPr>
          <w:p w14:paraId="336F648F">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仿宋_GB2312" w:hAnsi="仿宋_GB2312" w:eastAsia="仿宋_GB2312" w:cs="仿宋_GB2312"/>
                <w:kern w:val="0"/>
                <w:sz w:val="21"/>
                <w:szCs w:val="21"/>
                <w:highlight w:val="none"/>
                <w:lang w:val="en-US" w:eastAsia="zh-Hans"/>
              </w:rPr>
            </w:pPr>
            <w:r>
              <w:rPr>
                <w:rFonts w:hint="eastAsia" w:ascii="仿宋_GB2312" w:hAnsi="仿宋_GB2312" w:eastAsia="仿宋_GB2312" w:cs="仿宋_GB2312"/>
                <w:kern w:val="0"/>
                <w:sz w:val="21"/>
                <w:szCs w:val="21"/>
                <w:highlight w:val="none"/>
                <w:u w:val="single"/>
                <w:lang w:val="en-US" w:eastAsia="zh-CN"/>
              </w:rPr>
              <w:t xml:space="preserve">   </w:t>
            </w:r>
            <w:r>
              <w:rPr>
                <w:rFonts w:hint="eastAsia" w:ascii="仿宋_GB2312" w:hAnsi="仿宋_GB2312" w:eastAsia="仿宋_GB2312" w:cs="仿宋_GB2312"/>
                <w:kern w:val="0"/>
                <w:sz w:val="21"/>
                <w:szCs w:val="21"/>
                <w:highlight w:val="none"/>
                <w:lang w:val="en-US" w:eastAsia="zh-CN"/>
              </w:rPr>
              <w:t>元/课时/人</w:t>
            </w:r>
          </w:p>
        </w:tc>
        <w:tc>
          <w:tcPr>
            <w:tcW w:w="2595" w:type="dxa"/>
            <w:vAlign w:val="center"/>
          </w:tcPr>
          <w:p w14:paraId="25FB334A">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hint="eastAsia" w:ascii="仿宋_GB2312" w:hAnsi="仿宋_GB2312" w:eastAsia="仿宋_GB2312" w:cs="仿宋_GB2312"/>
                <w:kern w:val="0"/>
                <w:sz w:val="21"/>
                <w:szCs w:val="21"/>
                <w:highlight w:val="none"/>
                <w:lang w:val="en-US" w:eastAsia="zh-Hans"/>
              </w:rPr>
            </w:pPr>
            <w:r>
              <w:rPr>
                <w:rFonts w:hint="eastAsia" w:ascii="仿宋_GB2312" w:hAnsi="仿宋_GB2312" w:eastAsia="仿宋_GB2312" w:cs="仿宋_GB2312"/>
                <w:kern w:val="0"/>
                <w:sz w:val="21"/>
                <w:szCs w:val="21"/>
                <w:highlight w:val="none"/>
                <w:lang w:val="en-US" w:eastAsia="zh-Hans"/>
              </w:rPr>
              <w:t>院士、全国知名专家每学时最高上限价不超过1500元，并且不得0报价，否则按无效标处理。</w:t>
            </w:r>
          </w:p>
        </w:tc>
      </w:tr>
      <w:tr w14:paraId="7960F4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5" w:hRule="atLeast"/>
          <w:jc w:val="center"/>
        </w:trPr>
        <w:tc>
          <w:tcPr>
            <w:tcW w:w="609" w:type="dxa"/>
            <w:vAlign w:val="center"/>
          </w:tcPr>
          <w:p w14:paraId="0628C510">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仿宋_GB2312" w:hAnsi="仿宋_GB2312" w:eastAsia="仿宋_GB2312" w:cs="仿宋_GB2312"/>
                <w:kern w:val="0"/>
                <w:sz w:val="21"/>
                <w:szCs w:val="21"/>
                <w:highlight w:val="none"/>
                <w:lang w:val="en-US" w:eastAsia="zh-CN"/>
              </w:rPr>
            </w:pPr>
            <w:r>
              <w:rPr>
                <w:rFonts w:hint="eastAsia" w:ascii="仿宋_GB2312" w:hAnsi="仿宋_GB2312" w:eastAsia="仿宋_GB2312" w:cs="仿宋_GB2312"/>
                <w:kern w:val="0"/>
                <w:sz w:val="21"/>
                <w:szCs w:val="21"/>
                <w:highlight w:val="none"/>
                <w:lang w:val="en-US" w:eastAsia="zh-CN"/>
              </w:rPr>
              <w:t>3</w:t>
            </w:r>
          </w:p>
        </w:tc>
        <w:tc>
          <w:tcPr>
            <w:tcW w:w="1476" w:type="dxa"/>
            <w:vAlign w:val="center"/>
          </w:tcPr>
          <w:p w14:paraId="55196B86">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仿宋_GB2312" w:hAnsi="仿宋_GB2312" w:eastAsia="仿宋_GB2312" w:cs="仿宋_GB2312"/>
                <w:kern w:val="0"/>
                <w:sz w:val="21"/>
                <w:szCs w:val="21"/>
                <w:highlight w:val="none"/>
                <w:lang w:val="en-US" w:eastAsia="zh-Hans"/>
              </w:rPr>
            </w:pPr>
            <w:r>
              <w:rPr>
                <w:rFonts w:hint="eastAsia" w:ascii="仿宋_GB2312" w:hAnsi="仿宋_GB2312" w:eastAsia="仿宋_GB2312" w:cs="仿宋_GB2312"/>
                <w:kern w:val="0"/>
                <w:sz w:val="21"/>
                <w:szCs w:val="21"/>
                <w:highlight w:val="none"/>
                <w:lang w:val="en-US" w:eastAsia="zh-CN"/>
              </w:rPr>
              <w:t>授课老师讲课费个税、城市间交通费、食宿费用</w:t>
            </w:r>
          </w:p>
        </w:tc>
        <w:tc>
          <w:tcPr>
            <w:tcW w:w="2768" w:type="dxa"/>
            <w:vAlign w:val="center"/>
          </w:tcPr>
          <w:p w14:paraId="6B5BD6A1">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仿宋_GB2312" w:hAnsi="仿宋_GB2312" w:eastAsia="仿宋_GB2312" w:cs="仿宋_GB2312"/>
                <w:kern w:val="0"/>
                <w:sz w:val="21"/>
                <w:szCs w:val="21"/>
                <w:highlight w:val="none"/>
                <w:lang w:val="en-US" w:eastAsia="zh-CN"/>
              </w:rPr>
            </w:pPr>
            <w:r>
              <w:rPr>
                <w:rFonts w:hint="eastAsia" w:ascii="仿宋_GB2312" w:hAnsi="仿宋_GB2312" w:eastAsia="仿宋_GB2312" w:cs="仿宋_GB2312"/>
                <w:kern w:val="0"/>
                <w:sz w:val="21"/>
                <w:szCs w:val="21"/>
                <w:highlight w:val="none"/>
                <w:lang w:val="en-US" w:eastAsia="zh-CN"/>
              </w:rPr>
              <w:t>这部分内容不用投标人报价</w:t>
            </w:r>
          </w:p>
          <w:p w14:paraId="203E6820">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仿宋_GB2312" w:hAnsi="仿宋_GB2312" w:eastAsia="仿宋_GB2312" w:cs="仿宋_GB2312"/>
                <w:kern w:val="0"/>
                <w:sz w:val="21"/>
                <w:szCs w:val="21"/>
                <w:highlight w:val="none"/>
                <w:lang w:val="en-US" w:eastAsia="zh-Hans"/>
              </w:rPr>
            </w:pPr>
          </w:p>
        </w:tc>
        <w:tc>
          <w:tcPr>
            <w:tcW w:w="1745" w:type="dxa"/>
            <w:vAlign w:val="center"/>
          </w:tcPr>
          <w:p w14:paraId="4218E32D">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仿宋_GB2312" w:hAnsi="仿宋_GB2312" w:eastAsia="仿宋_GB2312" w:cs="仿宋_GB2312"/>
                <w:kern w:val="0"/>
                <w:sz w:val="21"/>
                <w:szCs w:val="21"/>
                <w:highlight w:val="none"/>
                <w:lang w:val="en-US" w:eastAsia="zh-CN"/>
              </w:rPr>
            </w:pPr>
          </w:p>
          <w:p w14:paraId="1D5F4DD7">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仿宋_GB2312" w:hAnsi="仿宋_GB2312" w:eastAsia="仿宋_GB2312" w:cs="仿宋_GB2312"/>
                <w:kern w:val="0"/>
                <w:sz w:val="21"/>
                <w:szCs w:val="21"/>
                <w:highlight w:val="none"/>
                <w:lang w:val="en-US" w:eastAsia="zh-CN"/>
              </w:rPr>
            </w:pPr>
          </w:p>
          <w:p w14:paraId="11458351">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仿宋_GB2312" w:hAnsi="仿宋_GB2312" w:eastAsia="仿宋_GB2312" w:cs="仿宋_GB2312"/>
                <w:kern w:val="0"/>
                <w:sz w:val="21"/>
                <w:szCs w:val="21"/>
                <w:highlight w:val="none"/>
                <w:lang w:val="en-US" w:eastAsia="zh-CN"/>
              </w:rPr>
            </w:pPr>
            <w:r>
              <w:rPr>
                <w:rFonts w:hint="eastAsia" w:ascii="仿宋_GB2312" w:hAnsi="仿宋_GB2312" w:eastAsia="仿宋_GB2312" w:cs="仿宋_GB2312"/>
                <w:kern w:val="0"/>
                <w:sz w:val="21"/>
                <w:szCs w:val="21"/>
                <w:highlight w:val="none"/>
                <w:lang w:val="en-US" w:eastAsia="zh-CN"/>
              </w:rPr>
              <w:t>/</w:t>
            </w:r>
          </w:p>
        </w:tc>
        <w:tc>
          <w:tcPr>
            <w:tcW w:w="2595" w:type="dxa"/>
            <w:vAlign w:val="center"/>
          </w:tcPr>
          <w:p w14:paraId="646763C5">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hint="eastAsia" w:ascii="仿宋_GB2312" w:hAnsi="仿宋_GB2312" w:eastAsia="仿宋_GB2312" w:cs="仿宋_GB2312"/>
                <w:kern w:val="0"/>
                <w:sz w:val="21"/>
                <w:szCs w:val="21"/>
                <w:highlight w:val="none"/>
                <w:lang w:val="en-US" w:eastAsia="zh-Hans"/>
              </w:rPr>
            </w:pPr>
            <w:r>
              <w:rPr>
                <w:rFonts w:hint="eastAsia" w:ascii="仿宋_GB2312" w:hAnsi="仿宋_GB2312" w:eastAsia="仿宋_GB2312" w:cs="仿宋_GB2312"/>
                <w:kern w:val="0"/>
                <w:sz w:val="21"/>
                <w:szCs w:val="21"/>
                <w:highlight w:val="none"/>
                <w:lang w:val="en-US" w:eastAsia="zh-CN"/>
              </w:rPr>
              <w:t>授课老师讲课费个税、城市间交通费、食宿由采购人向投标人另行据实结算和支付。</w:t>
            </w:r>
          </w:p>
        </w:tc>
      </w:tr>
      <w:tr w14:paraId="103BFB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5" w:hRule="atLeast"/>
          <w:jc w:val="center"/>
        </w:trPr>
        <w:tc>
          <w:tcPr>
            <w:tcW w:w="4853" w:type="dxa"/>
            <w:gridSpan w:val="3"/>
            <w:vAlign w:val="center"/>
          </w:tcPr>
          <w:p w14:paraId="381D2C8A">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仿宋_GB2312" w:hAnsi="仿宋_GB2312" w:eastAsia="仿宋_GB2312" w:cs="仿宋_GB2312"/>
                <w:kern w:val="0"/>
                <w:sz w:val="21"/>
                <w:szCs w:val="21"/>
                <w:highlight w:val="none"/>
                <w:lang w:val="en-US" w:eastAsia="zh-CN"/>
              </w:rPr>
            </w:pPr>
            <w:r>
              <w:rPr>
                <w:rFonts w:hint="eastAsia" w:ascii="仿宋_GB2312" w:hAnsi="仿宋_GB2312" w:eastAsia="仿宋_GB2312" w:cs="仿宋_GB2312"/>
                <w:kern w:val="0"/>
                <w:sz w:val="21"/>
                <w:szCs w:val="21"/>
                <w:highlight w:val="none"/>
                <w:lang w:val="en-US" w:eastAsia="zh-CN"/>
              </w:rPr>
              <w:t>合价</w:t>
            </w:r>
          </w:p>
        </w:tc>
        <w:tc>
          <w:tcPr>
            <w:tcW w:w="4340" w:type="dxa"/>
            <w:gridSpan w:val="2"/>
            <w:vAlign w:val="center"/>
          </w:tcPr>
          <w:p w14:paraId="5C231435">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仿宋_GB2312" w:hAnsi="仿宋_GB2312" w:eastAsia="仿宋_GB2312" w:cs="仿宋_GB2312"/>
                <w:kern w:val="0"/>
                <w:sz w:val="21"/>
                <w:szCs w:val="21"/>
                <w:highlight w:val="none"/>
                <w:lang w:val="en-US" w:eastAsia="zh-CN"/>
              </w:rPr>
            </w:pPr>
            <w:r>
              <w:rPr>
                <w:rFonts w:hint="eastAsia" w:ascii="仿宋_GB2312" w:hAnsi="仿宋_GB2312" w:eastAsia="仿宋_GB2312" w:cs="仿宋_GB2312"/>
                <w:kern w:val="0"/>
                <w:sz w:val="21"/>
                <w:szCs w:val="21"/>
                <w:highlight w:val="none"/>
                <w:u w:val="none"/>
                <w:lang w:val="en-US" w:eastAsia="zh-CN"/>
              </w:rPr>
              <w:t>大写：</w:t>
            </w:r>
            <w:r>
              <w:rPr>
                <w:rFonts w:hint="eastAsia" w:ascii="仿宋_GB2312" w:hAnsi="仿宋_GB2312" w:eastAsia="仿宋_GB2312" w:cs="仿宋_GB2312"/>
                <w:kern w:val="0"/>
                <w:sz w:val="21"/>
                <w:szCs w:val="21"/>
                <w:highlight w:val="none"/>
                <w:u w:val="single"/>
                <w:lang w:val="en-US" w:eastAsia="zh-CN"/>
              </w:rPr>
              <w:t xml:space="preserve">               </w:t>
            </w:r>
            <w:r>
              <w:rPr>
                <w:rFonts w:hint="eastAsia" w:ascii="仿宋_GB2312" w:hAnsi="仿宋_GB2312" w:eastAsia="仿宋_GB2312" w:cs="仿宋_GB2312"/>
                <w:kern w:val="0"/>
                <w:sz w:val="21"/>
                <w:szCs w:val="21"/>
                <w:highlight w:val="none"/>
                <w:lang w:val="en-US" w:eastAsia="zh-CN"/>
              </w:rPr>
              <w:t>元/课时/人</w:t>
            </w:r>
          </w:p>
          <w:p w14:paraId="163B9934">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仿宋_GB2312" w:hAnsi="仿宋_GB2312" w:eastAsia="仿宋_GB2312" w:cs="仿宋_GB2312"/>
                <w:kern w:val="0"/>
                <w:sz w:val="21"/>
                <w:szCs w:val="21"/>
                <w:highlight w:val="none"/>
                <w:lang w:val="en-US" w:eastAsia="zh-CN"/>
              </w:rPr>
            </w:pPr>
            <w:r>
              <w:rPr>
                <w:rFonts w:hint="eastAsia" w:ascii="仿宋_GB2312" w:hAnsi="仿宋_GB2312" w:eastAsia="仿宋_GB2312" w:cs="仿宋_GB2312"/>
                <w:kern w:val="0"/>
                <w:sz w:val="21"/>
                <w:szCs w:val="21"/>
                <w:highlight w:val="none"/>
                <w:lang w:val="en-US" w:eastAsia="zh-CN"/>
              </w:rPr>
              <w:t>小写：</w:t>
            </w:r>
            <w:r>
              <w:rPr>
                <w:rFonts w:hint="eastAsia" w:ascii="仿宋_GB2312" w:hAnsi="仿宋_GB2312" w:eastAsia="仿宋_GB2312" w:cs="仿宋_GB2312"/>
                <w:kern w:val="0"/>
                <w:sz w:val="21"/>
                <w:szCs w:val="21"/>
                <w:highlight w:val="none"/>
                <w:u w:val="single"/>
                <w:lang w:val="en-US" w:eastAsia="zh-CN"/>
              </w:rPr>
              <w:t xml:space="preserve">               </w:t>
            </w:r>
            <w:r>
              <w:rPr>
                <w:rFonts w:hint="eastAsia" w:ascii="仿宋_GB2312" w:hAnsi="仿宋_GB2312" w:eastAsia="仿宋_GB2312" w:cs="仿宋_GB2312"/>
                <w:kern w:val="0"/>
                <w:sz w:val="21"/>
                <w:szCs w:val="21"/>
                <w:highlight w:val="none"/>
                <w:lang w:val="en-US" w:eastAsia="zh-CN"/>
              </w:rPr>
              <w:t>元/课时/人</w:t>
            </w:r>
          </w:p>
        </w:tc>
      </w:tr>
    </w:tbl>
    <w:p w14:paraId="1F80552C">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仿宋_GB2312" w:hAnsi="仿宋_GB2312" w:eastAsia="仿宋_GB2312" w:cs="仿宋_GB2312"/>
          <w:kern w:val="0"/>
          <w:sz w:val="21"/>
          <w:szCs w:val="21"/>
          <w:highlight w:val="none"/>
          <w:lang w:val="en-US" w:eastAsia="zh-CN"/>
        </w:rPr>
      </w:pPr>
      <w:r>
        <w:rPr>
          <w:rFonts w:hint="eastAsia" w:ascii="仿宋_GB2312" w:hAnsi="仿宋_GB2312" w:eastAsia="仿宋_GB2312" w:cs="仿宋_GB2312"/>
          <w:kern w:val="0"/>
          <w:sz w:val="21"/>
          <w:szCs w:val="21"/>
          <w:highlight w:val="none"/>
          <w:lang w:val="en-US" w:eastAsia="zh-CN"/>
        </w:rPr>
        <w:t>投标报价说明：</w:t>
      </w:r>
    </w:p>
    <w:p w14:paraId="1E92FCDD">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仿宋_GB2312" w:hAnsi="仿宋_GB2312" w:eastAsia="仿宋_GB2312" w:cs="仿宋_GB2312"/>
          <w:kern w:val="0"/>
          <w:sz w:val="21"/>
          <w:szCs w:val="21"/>
          <w:highlight w:val="none"/>
          <w:lang w:val="en-US" w:eastAsia="zh-CN"/>
        </w:rPr>
      </w:pPr>
      <w:r>
        <w:rPr>
          <w:rFonts w:hint="eastAsia" w:ascii="仿宋_GB2312" w:hAnsi="仿宋_GB2312" w:eastAsia="仿宋_GB2312" w:cs="仿宋_GB2312"/>
          <w:kern w:val="0"/>
          <w:sz w:val="21"/>
          <w:szCs w:val="21"/>
          <w:highlight w:val="none"/>
          <w:lang w:val="en-US" w:eastAsia="zh-CN"/>
        </w:rPr>
        <w:t xml:space="preserve">1.投标人的报价是投标人响应招标项目要求的全部工作内容的价格体现，包括投标人完成本项目所需的一切费用。 </w:t>
      </w:r>
    </w:p>
    <w:p w14:paraId="10AA0654">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仿宋_GB2312" w:hAnsi="仿宋_GB2312" w:eastAsia="仿宋_GB2312" w:cs="仿宋_GB2312"/>
          <w:kern w:val="0"/>
          <w:sz w:val="21"/>
          <w:szCs w:val="21"/>
          <w:highlight w:val="none"/>
          <w:lang w:val="en-US" w:eastAsia="zh-CN"/>
        </w:rPr>
      </w:pPr>
      <w:r>
        <w:rPr>
          <w:rFonts w:hint="eastAsia" w:ascii="仿宋_GB2312" w:hAnsi="仿宋_GB2312" w:eastAsia="仿宋_GB2312" w:cs="仿宋_GB2312"/>
          <w:kern w:val="0"/>
          <w:sz w:val="21"/>
          <w:szCs w:val="21"/>
          <w:highlight w:val="none"/>
          <w:lang w:val="en-US" w:eastAsia="zh-CN"/>
        </w:rPr>
        <w:t>2.本项目报价内容为两类，一是综合定额单价（含税），指参训学员所发生的每人每天的费用，包含住宿费、伙食费、培训场地费、培训资料费、交通费、其他费用等。各投标人应按照陕西省财政厅中共陕西省委组织部陕西省公务员局《关于印发&lt;陕西省省级机关培训费管理办法&gt;的通知》（陕财办〔2017〕16号）规定和自身能力进行报价，其单价最高上限价为人民币400元/天/人（含税）；二是师资费单价（不含税），指授课教师所产生的每人每课时的讲课费用；各投标人应按照陕西省财政厅中共陕西省委组织部陕西省公务员局《关于印发&lt;陕西省省级机关培训费管理办法&gt;的通知》（陕财办〔2017〕16号）规定和自身能力进行报价，同时须将各级师资费单价在招标文件附表“分项报价表”中进行详细报价，单价类别须按表内所列为准，不得漏填或0报价），其中副高级技术职称专业人员每学时最高上限价不超过500元（不含税），正高级技术职称专业人员每学时最高上限价不超过1000元（不含税） 。院士、全国知名专家每学时最高上限价不超过1500元（不含税）。</w:t>
      </w:r>
    </w:p>
    <w:p w14:paraId="195BF52A">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仿宋_GB2312" w:hAnsi="仿宋_GB2312" w:eastAsia="仿宋_GB2312" w:cs="仿宋_GB2312"/>
          <w:kern w:val="0"/>
          <w:sz w:val="21"/>
          <w:szCs w:val="21"/>
          <w:highlight w:val="none"/>
          <w:lang w:val="en-US" w:eastAsia="zh-CN"/>
        </w:rPr>
      </w:pPr>
      <w:r>
        <w:rPr>
          <w:rFonts w:hint="eastAsia" w:ascii="仿宋_GB2312" w:hAnsi="仿宋_GB2312" w:eastAsia="仿宋_GB2312" w:cs="仿宋_GB2312"/>
          <w:kern w:val="0"/>
          <w:sz w:val="21"/>
          <w:szCs w:val="21"/>
          <w:highlight w:val="none"/>
          <w:lang w:val="en-US" w:eastAsia="zh-CN"/>
        </w:rPr>
        <w:t>3.投标人每种服务内容只允许有一个单价报价，包括综合定额单价和各项师资费单价，各项填报的单价在合同执行过程中是固定不变的，结算时按实际完成量据实结算，其中综合定额单价是含税价，各级师资费单价是不含税价，授课老师讲课费个税、城市间交通费、食宿由采购人向投标人另行据实结算和支付（所有结算总费用不得高于项目总预算）。任何有选择或可调整的报价将不予接受，并按无效投标处理。以上所有产生的费用均包含在本项目总费用中。</w:t>
      </w:r>
    </w:p>
    <w:p w14:paraId="606991CF">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仿宋_GB2312" w:hAnsi="仿宋_GB2312" w:eastAsia="仿宋_GB2312" w:cs="仿宋_GB2312"/>
          <w:b/>
          <w:bCs/>
          <w:kern w:val="0"/>
          <w:sz w:val="21"/>
          <w:szCs w:val="21"/>
          <w:highlight w:val="none"/>
          <w:lang w:val="en-US" w:eastAsia="zh-CN"/>
        </w:rPr>
      </w:pPr>
      <w:r>
        <w:rPr>
          <w:rFonts w:hint="eastAsia" w:ascii="仿宋_GB2312" w:hAnsi="仿宋_GB2312" w:eastAsia="仿宋_GB2312" w:cs="仿宋_GB2312"/>
          <w:b/>
          <w:bCs/>
          <w:kern w:val="0"/>
          <w:sz w:val="21"/>
          <w:szCs w:val="21"/>
          <w:highlight w:val="none"/>
          <w:lang w:val="en-US" w:eastAsia="zh-CN"/>
        </w:rPr>
        <w:t>4.合价为综合定额（含税）+师资费单价（不含税），例：400+1000+500+1500=3400元/课时/人。</w:t>
      </w:r>
    </w:p>
    <w:p w14:paraId="719D6457">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仿宋_GB2312" w:hAnsi="仿宋_GB2312" w:eastAsia="仿宋_GB2312" w:cs="仿宋_GB2312"/>
          <w:b/>
          <w:bCs/>
          <w:kern w:val="0"/>
          <w:sz w:val="21"/>
          <w:szCs w:val="21"/>
          <w:highlight w:val="none"/>
          <w:lang w:val="en-US" w:eastAsia="zh-CN"/>
        </w:rPr>
      </w:pPr>
      <w:r>
        <w:rPr>
          <w:rFonts w:hint="eastAsia" w:ascii="仿宋_GB2312" w:hAnsi="仿宋_GB2312" w:eastAsia="仿宋_GB2312" w:cs="仿宋_GB2312"/>
          <w:b/>
          <w:bCs/>
          <w:kern w:val="0"/>
          <w:sz w:val="21"/>
          <w:szCs w:val="21"/>
          <w:highlight w:val="none"/>
          <w:lang w:val="en-US" w:eastAsia="zh-CN"/>
        </w:rPr>
        <w:t>5.本项目中的标的清单单价、开标一览表中单价均为此分项报价表中的合价。</w:t>
      </w:r>
    </w:p>
    <w:p w14:paraId="0AB36D52">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default" w:ascii="仿宋_GB2312" w:hAnsi="仿宋_GB2312" w:eastAsia="仿宋_GB2312" w:cs="仿宋_GB2312"/>
          <w:b w:val="0"/>
          <w:bCs w:val="0"/>
          <w:kern w:val="0"/>
          <w:sz w:val="21"/>
          <w:szCs w:val="21"/>
          <w:highlight w:val="none"/>
          <w:lang w:val="en-US" w:eastAsia="zh-CN"/>
        </w:rPr>
      </w:pPr>
      <w:r>
        <w:rPr>
          <w:rFonts w:hint="eastAsia" w:ascii="仿宋_GB2312" w:hAnsi="仿宋_GB2312" w:eastAsia="仿宋_GB2312" w:cs="仿宋_GB2312"/>
          <w:b w:val="0"/>
          <w:bCs w:val="0"/>
          <w:kern w:val="0"/>
          <w:sz w:val="21"/>
          <w:szCs w:val="21"/>
          <w:highlight w:val="none"/>
          <w:lang w:val="en-US" w:eastAsia="zh-CN"/>
        </w:rPr>
        <w:t>6.报价保留小数点后两位。</w:t>
      </w:r>
    </w:p>
    <w:p w14:paraId="6D13F187">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仿宋_GB2312" w:hAnsi="仿宋_GB2312" w:eastAsia="仿宋_GB2312" w:cs="仿宋_GB2312"/>
          <w:kern w:val="0"/>
          <w:sz w:val="21"/>
          <w:szCs w:val="21"/>
          <w:highlight w:val="none"/>
          <w:lang w:val="en-US" w:eastAsia="zh-CN"/>
        </w:rPr>
      </w:pPr>
      <w:r>
        <w:rPr>
          <w:rFonts w:hint="eastAsia" w:ascii="仿宋_GB2312" w:hAnsi="仿宋_GB2312" w:eastAsia="仿宋_GB2312" w:cs="仿宋_GB2312"/>
          <w:kern w:val="0"/>
          <w:sz w:val="21"/>
          <w:szCs w:val="21"/>
          <w:highlight w:val="none"/>
          <w:lang w:val="en-US" w:eastAsia="zh-CN"/>
        </w:rPr>
        <w:t xml:space="preserve">                                         </w:t>
      </w:r>
    </w:p>
    <w:p w14:paraId="6D5219B6">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仿宋_GB2312" w:hAnsi="仿宋_GB2312" w:eastAsia="仿宋_GB2312" w:cs="仿宋_GB2312"/>
          <w:kern w:val="0"/>
          <w:sz w:val="21"/>
          <w:szCs w:val="21"/>
          <w:highlight w:val="none"/>
          <w:lang w:val="en-US" w:eastAsia="zh-CN"/>
        </w:rPr>
      </w:pPr>
    </w:p>
    <w:p w14:paraId="55BFA966">
      <w:pPr>
        <w:kinsoku/>
        <w:wordWrap/>
        <w:overflowPunct/>
        <w:bidi w:val="0"/>
        <w:adjustRightInd w:val="0"/>
        <w:spacing w:line="360" w:lineRule="auto"/>
        <w:jc w:val="right"/>
        <w:textAlignment w:val="baseline"/>
        <w:rPr>
          <w:rFonts w:hint="eastAsia" w:ascii="仿宋_GB2312" w:hAnsi="仿宋_GB2312" w:eastAsia="仿宋_GB2312" w:cs="仿宋_GB2312"/>
          <w:kern w:val="0"/>
          <w:sz w:val="21"/>
          <w:szCs w:val="21"/>
          <w:highlight w:val="none"/>
          <w:u w:val="none"/>
          <w:lang w:val="en-US" w:eastAsia="zh-CN"/>
        </w:rPr>
      </w:pPr>
      <w:r>
        <w:rPr>
          <w:rFonts w:hint="eastAsia" w:ascii="仿宋_GB2312" w:hAnsi="仿宋_GB2312" w:eastAsia="仿宋_GB2312" w:cs="仿宋_GB2312"/>
          <w:kern w:val="0"/>
          <w:sz w:val="21"/>
          <w:szCs w:val="21"/>
          <w:highlight w:val="none"/>
          <w:lang w:val="en-US" w:eastAsia="zh-CN"/>
        </w:rPr>
        <w:t xml:space="preserve">                                    投标人:</w:t>
      </w:r>
      <w:r>
        <w:rPr>
          <w:rFonts w:hint="eastAsia" w:ascii="仿宋_GB2312" w:hAnsi="仿宋_GB2312" w:eastAsia="仿宋_GB2312" w:cs="仿宋_GB2312"/>
          <w:kern w:val="0"/>
          <w:sz w:val="21"/>
          <w:szCs w:val="21"/>
          <w:highlight w:val="none"/>
          <w:u w:val="none"/>
          <w:lang w:val="en-US" w:eastAsia="zh-CN"/>
        </w:rPr>
        <w:t>(加盖公章)</w:t>
      </w:r>
    </w:p>
    <w:p w14:paraId="181E694D">
      <w:pPr>
        <w:kinsoku/>
        <w:wordWrap/>
        <w:overflowPunct/>
        <w:bidi w:val="0"/>
        <w:adjustRightInd w:val="0"/>
        <w:spacing w:line="360" w:lineRule="auto"/>
        <w:jc w:val="right"/>
        <w:textAlignment w:val="baseline"/>
        <w:rPr>
          <w:rFonts w:hint="eastAsia" w:ascii="方正仿宋_GB2312" w:hAnsi="方正仿宋_GB2312" w:eastAsia="方正仿宋_GB2312" w:cs="方正仿宋_GB2312"/>
          <w:b w:val="0"/>
          <w:kern w:val="2"/>
          <w:sz w:val="21"/>
          <w:szCs w:val="21"/>
          <w:u w:val="single"/>
          <w:lang w:val="en-US" w:eastAsia="zh-CN" w:bidi="ar-SA"/>
        </w:rPr>
      </w:pPr>
      <w:bookmarkStart w:id="0" w:name="_GoBack"/>
      <w:bookmarkEnd w:id="0"/>
      <w:r>
        <w:rPr>
          <w:rFonts w:hint="eastAsia" w:ascii="仿宋_GB2312" w:hAnsi="仿宋_GB2312" w:eastAsia="仿宋_GB2312" w:cs="仿宋_GB2312"/>
          <w:kern w:val="0"/>
          <w:sz w:val="21"/>
          <w:szCs w:val="21"/>
          <w:highlight w:val="none"/>
          <w:lang w:val="en-US" w:eastAsia="zh-CN"/>
        </w:rPr>
        <w:t xml:space="preserve">                                     </w:t>
      </w:r>
      <w:r>
        <w:rPr>
          <w:rFonts w:hint="eastAsia" w:ascii="仿宋_GB2312" w:hAnsi="仿宋_GB2312" w:eastAsia="仿宋_GB2312" w:cs="仿宋_GB2312"/>
          <w:kern w:val="0"/>
          <w:sz w:val="21"/>
          <w:szCs w:val="21"/>
          <w:highlight w:val="none"/>
          <w:u w:val="none"/>
          <w:lang w:val="en-US" w:eastAsia="zh-CN"/>
        </w:rPr>
        <w:t xml:space="preserve">   年  月   日</w:t>
      </w:r>
    </w:p>
    <w:p w14:paraId="6C1F7E55">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仿宋_GB2312" w:hAnsi="仿宋_GB2312" w:eastAsia="仿宋_GB2312" w:cs="仿宋_GB2312"/>
          <w:kern w:val="0"/>
          <w:sz w:val="20"/>
          <w:szCs w:val="20"/>
          <w:highlight w:val="none"/>
          <w:lang w:val="en-US" w:eastAsia="zh-CN"/>
        </w:rPr>
      </w:pPr>
    </w:p>
    <w:p w14:paraId="369966DD">
      <w:pPr>
        <w:rPr>
          <w:rFonts w:hint="eastAsia" w:eastAsia="仿宋_GB2312" w:asciiTheme="minorHAnsi" w:hAnsiTheme="minorHAnsi" w:cstheme="minorBidi"/>
          <w:b w:val="0"/>
          <w:kern w:val="2"/>
          <w:sz w:val="24"/>
          <w:szCs w:val="24"/>
          <w:lang w:val="en-US" w:eastAsia="zh-CN" w:bidi="ar-SA"/>
        </w:rPr>
      </w:pPr>
    </w:p>
    <w:p w14:paraId="523A54D6">
      <w:pPr>
        <w:rPr>
          <w:rFonts w:hint="eastAsia" w:eastAsia="仿宋_GB2312" w:asciiTheme="minorHAnsi" w:hAnsiTheme="minorHAnsi" w:cstheme="minorBidi"/>
          <w:b w:val="0"/>
          <w:kern w:val="2"/>
          <w:sz w:val="24"/>
          <w:szCs w:val="24"/>
          <w:lang w:val="en-US" w:eastAsia="zh-CN" w:bidi="ar-SA"/>
        </w:rPr>
      </w:pPr>
    </w:p>
    <w:p w14:paraId="21EA112C">
      <w:pPr>
        <w:rPr>
          <w:rFonts w:hint="eastAsia" w:eastAsia="仿宋_GB2312" w:asciiTheme="minorHAnsi" w:hAnsiTheme="minorHAnsi" w:cstheme="minorBidi"/>
          <w:b w:val="0"/>
          <w:kern w:val="2"/>
          <w:sz w:val="24"/>
          <w:szCs w:val="24"/>
          <w:lang w:val="en-US" w:eastAsia="zh-CN" w:bidi="ar-SA"/>
        </w:rPr>
      </w:pPr>
    </w:p>
    <w:p w14:paraId="7B3874E9">
      <w:pPr>
        <w:rPr>
          <w:rFonts w:hint="eastAsia" w:eastAsia="仿宋_GB2312" w:asciiTheme="minorHAnsi" w:hAnsiTheme="minorHAnsi" w:cstheme="minorBidi"/>
          <w:b w:val="0"/>
          <w:kern w:val="2"/>
          <w:sz w:val="24"/>
          <w:szCs w:val="24"/>
          <w:lang w:val="en-US" w:eastAsia="zh-CN" w:bidi="ar-SA"/>
        </w:rPr>
      </w:pPr>
    </w:p>
    <w:p w14:paraId="2CD1ACA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2312">
    <w:altName w:val="仿宋"/>
    <w:panose1 w:val="02000000000000000000"/>
    <w:charset w:val="86"/>
    <w:family w:val="auto"/>
    <w:pitch w:val="default"/>
    <w:sig w:usb0="00000000" w:usb1="00000000" w:usb2="00000012" w:usb3="00000000" w:csb0="00040001"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KSOFE44F9426">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075D20"/>
    <w:rsid w:val="4359493C"/>
    <w:rsid w:val="673713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1140</Words>
  <Characters>1195</Characters>
  <Lines>0</Lines>
  <Paragraphs>0</Paragraphs>
  <TotalTime>10</TotalTime>
  <ScaleCrop>false</ScaleCrop>
  <LinksUpToDate>false</LinksUpToDate>
  <CharactersWithSpaces>1363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2026-03-10T06:17:00Z</dcterms:created>
  <dc:creator>0</dc:creator>
  <cp:lastModifiedBy>梦雨</cp:lastModifiedBy>
  <cp:lastPrinted>2026-03-10T08:20:00Z</cp:lastPrinted>
  <dcterms:modified xsi:type="dcterms:W3CDTF">2026-03-10T08:32:19Z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eyJoZGlkIjoiZDZhMGYxOWMzZDFjZDQ2Y2MwMTBlYWU5NzY1MmRkMzAiLCJ1c2VySWQiOiI1OTYyNjU4NzAifQ==</vt:lpwstr>
  </property>
  <property fmtid="{D5CDD505-2E9C-101B-9397-08002B2CF9AE}" pid="4" name="ICV">
    <vt:lpwstr>9FBDFE4EF8064E08A5C22BA3D247F562_12</vt:lpwstr>
  </property>
</Properties>
</file>