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70D9C">
      <w:pPr>
        <w:jc w:val="center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</w:p>
    <w:p w14:paraId="3443F121">
      <w:pPr>
        <w:jc w:val="center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（最终合同以双方签章的书面文本为准）</w:t>
      </w:r>
    </w:p>
    <w:p w14:paraId="04952115"/>
    <w:p w14:paraId="7C8C9B0C">
      <w:pPr>
        <w:jc w:val="both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Hans"/>
        </w:rPr>
        <w:t>合同编号：</w:t>
      </w:r>
    </w:p>
    <w:p w14:paraId="754A36B7">
      <w:pPr>
        <w:pStyle w:val="3"/>
        <w:rPr>
          <w:rFonts w:hint="eastAsia" w:ascii="方正仿宋_GB2312" w:hAnsi="方正仿宋_GB2312" w:eastAsia="方正仿宋_GB2312" w:cs="方正仿宋_GB2312"/>
          <w:bCs/>
          <w:color w:val="auto"/>
          <w:sz w:val="30"/>
          <w:szCs w:val="30"/>
        </w:rPr>
      </w:pPr>
      <w:bookmarkStart w:id="0" w:name="_GoBack"/>
      <w:bookmarkEnd w:id="0"/>
    </w:p>
    <w:p w14:paraId="02FA7AB8">
      <w:pPr>
        <w:pStyle w:val="3"/>
        <w:rPr>
          <w:rFonts w:hint="eastAsia" w:ascii="方正仿宋_GB2312" w:hAnsi="方正仿宋_GB2312" w:eastAsia="方正仿宋_GB2312" w:cs="方正仿宋_GB2312"/>
          <w:bCs/>
          <w:color w:val="auto"/>
          <w:sz w:val="30"/>
          <w:szCs w:val="30"/>
        </w:rPr>
      </w:pPr>
    </w:p>
    <w:p w14:paraId="6A43DA1D">
      <w:pPr>
        <w:pStyle w:val="3"/>
        <w:rPr>
          <w:rFonts w:hint="eastAsia" w:ascii="方正仿宋_GB2312" w:hAnsi="方正仿宋_GB2312" w:eastAsia="方正仿宋_GB2312" w:cs="方正仿宋_GB2312"/>
          <w:color w:val="auto"/>
        </w:rPr>
      </w:pPr>
    </w:p>
    <w:p w14:paraId="6CC61946">
      <w:pPr>
        <w:rPr>
          <w:rFonts w:hint="eastAsia" w:ascii="方正仿宋_GB2312" w:hAnsi="方正仿宋_GB2312" w:eastAsia="方正仿宋_GB2312" w:cs="方正仿宋_GB2312"/>
          <w:color w:val="auto"/>
        </w:rPr>
      </w:pPr>
    </w:p>
    <w:p w14:paraId="3B24F417">
      <w:pPr>
        <w:pStyle w:val="3"/>
        <w:rPr>
          <w:rFonts w:hint="eastAsia" w:ascii="方正仿宋_GB2312" w:hAnsi="方正仿宋_GB2312" w:eastAsia="方正仿宋_GB2312" w:cs="方正仿宋_GB2312"/>
          <w:color w:val="auto"/>
        </w:rPr>
      </w:pPr>
    </w:p>
    <w:p w14:paraId="47E24E84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36"/>
          <w:szCs w:val="36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6"/>
          <w:szCs w:val="36"/>
          <w:lang w:val="en-US" w:eastAsia="zh-CN"/>
        </w:rPr>
        <w:t>陕西省交通运输厅干部教育培训</w:t>
      </w:r>
      <w:r>
        <w:rPr>
          <w:rFonts w:hint="eastAsia" w:ascii="仿宋_GB2312" w:hAnsi="仿宋_GB2312" w:eastAsia="仿宋_GB2312" w:cs="仿宋_GB2312"/>
          <w:b/>
          <w:bCs/>
          <w:kern w:val="0"/>
          <w:sz w:val="36"/>
          <w:szCs w:val="36"/>
          <w:lang w:val="en-US" w:eastAsia="zh-Hans"/>
        </w:rPr>
        <w:t>项目</w:t>
      </w:r>
    </w:p>
    <w:p w14:paraId="785E20D4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Hans"/>
        </w:rPr>
      </w:pPr>
    </w:p>
    <w:p w14:paraId="7C84178C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52"/>
          <w:szCs w:val="52"/>
          <w:lang w:val="en-US" w:eastAsia="zh-Hans"/>
        </w:rPr>
      </w:pPr>
    </w:p>
    <w:p w14:paraId="0CFEDE4D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52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52"/>
          <w:szCs w:val="52"/>
          <w:lang w:val="en-US" w:eastAsia="zh-CN"/>
        </w:rPr>
        <w:t>合 同 协 议 书</w:t>
      </w:r>
    </w:p>
    <w:p w14:paraId="103B8A1A">
      <w:pPr>
        <w:rPr>
          <w:rFonts w:hint="eastAsia" w:ascii="方正仿宋_GB2312" w:hAnsi="方正仿宋_GB2312" w:eastAsia="方正仿宋_GB2312" w:cs="方正仿宋_GB2312"/>
          <w:color w:val="auto"/>
        </w:rPr>
      </w:pPr>
    </w:p>
    <w:p w14:paraId="1BFB5D62">
      <w:pPr>
        <w:rPr>
          <w:rFonts w:hint="eastAsia" w:ascii="方正仿宋_GB2312" w:hAnsi="方正仿宋_GB2312" w:eastAsia="方正仿宋_GB2312" w:cs="方正仿宋_GB2312"/>
          <w:color w:val="auto"/>
        </w:rPr>
      </w:pPr>
    </w:p>
    <w:p w14:paraId="0673FB5E">
      <w:pPr>
        <w:jc w:val="center"/>
        <w:rPr>
          <w:rFonts w:hint="eastAsia" w:ascii="方正仿宋_GB2312" w:hAnsi="方正仿宋_GB2312" w:eastAsia="方正仿宋_GB2312" w:cs="方正仿宋_GB2312"/>
          <w:b/>
          <w:color w:val="auto"/>
          <w:sz w:val="36"/>
          <w:szCs w:val="36"/>
        </w:rPr>
      </w:pPr>
    </w:p>
    <w:p w14:paraId="64CBF98F">
      <w:pPr>
        <w:jc w:val="center"/>
        <w:rPr>
          <w:rFonts w:hint="eastAsia" w:ascii="方正仿宋_GB2312" w:hAnsi="方正仿宋_GB2312" w:eastAsia="方正仿宋_GB2312" w:cs="方正仿宋_GB2312"/>
          <w:b/>
          <w:color w:val="auto"/>
          <w:sz w:val="36"/>
          <w:szCs w:val="36"/>
        </w:rPr>
      </w:pPr>
    </w:p>
    <w:p w14:paraId="549A311D">
      <w:pPr>
        <w:pStyle w:val="2"/>
        <w:rPr>
          <w:rFonts w:hint="eastAsia" w:ascii="方正仿宋_GB2312" w:hAnsi="方正仿宋_GB2312" w:eastAsia="方正仿宋_GB2312" w:cs="方正仿宋_GB2312"/>
          <w:color w:val="auto"/>
        </w:rPr>
      </w:pPr>
    </w:p>
    <w:p w14:paraId="3AB88A7B">
      <w:pPr>
        <w:jc w:val="center"/>
        <w:rPr>
          <w:rFonts w:hint="eastAsia" w:ascii="方正仿宋_GB2312" w:hAnsi="方正仿宋_GB2312" w:eastAsia="方正仿宋_GB2312" w:cs="方正仿宋_GB2312"/>
          <w:b/>
          <w:color w:val="auto"/>
          <w:sz w:val="36"/>
          <w:szCs w:val="36"/>
        </w:rPr>
      </w:pPr>
    </w:p>
    <w:p w14:paraId="0C9C30BD">
      <w:pPr>
        <w:spacing w:before="156" w:beforeLines="50" w:line="360" w:lineRule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6"/>
          <w:szCs w:val="36"/>
        </w:rPr>
      </w:pPr>
    </w:p>
    <w:p w14:paraId="78E88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530" w:firstLineChars="9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甲方：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 xml:space="preserve">       </w:t>
      </w:r>
    </w:p>
    <w:p w14:paraId="30F89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530" w:firstLineChars="9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乙方：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 xml:space="preserve">       </w:t>
      </w:r>
    </w:p>
    <w:p w14:paraId="6FB9A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530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二〇二六年  月  日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6"/>
          <w:szCs w:val="36"/>
        </w:rPr>
        <w:br w:type="page"/>
      </w:r>
    </w:p>
    <w:p w14:paraId="25887513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  <w:t>甲方：</w:t>
      </w: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u w:val="single"/>
          <w:lang w:val="en-US" w:eastAsia="zh-Hans"/>
        </w:rPr>
        <w:t>（前款所称采购人）</w:t>
      </w: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  <w:t xml:space="preserve">         </w:t>
      </w:r>
    </w:p>
    <w:p w14:paraId="4A4E3592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  <w:t>乙方：</w:t>
      </w: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u w:val="single"/>
          <w:lang w:val="en-US" w:eastAsia="zh-Hans"/>
        </w:rPr>
        <w:t xml:space="preserve">（前款所称中标人） </w:t>
      </w: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  <w:t xml:space="preserve">    </w:t>
      </w:r>
    </w:p>
    <w:p w14:paraId="131989E3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鉴于甲方通过政府采购方式确定乙方为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陕西省交通运输厅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干部教育培训项目的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投标人,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根据《中华人民共和国民法典》《中华人民共和国政府采购法》及相关法律法规的规定，遵循平等、自愿、公平和诚信的原则，双方就下述项目范围与相关服务事项协商一致，订立本合同。</w:t>
      </w:r>
    </w:p>
    <w:p w14:paraId="5C4EF9F1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  <w:t>一、项目概况</w:t>
      </w:r>
    </w:p>
    <w:p w14:paraId="57FA3FEC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1.项目名称：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>陕西省交通运输厅干部教育培训项目</w:t>
      </w:r>
    </w:p>
    <w:p w14:paraId="69D45AF1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2.项目内容：乙方负责按照甲方要求，为甲方干部提供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培训服务，包括课程设计、师资配备、教学组织、培训场地安排、培训资料准备以及培训效果评估等工作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。</w:t>
      </w:r>
    </w:p>
    <w:p w14:paraId="1498C941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  <w:t>二、组成本合同的文件</w:t>
      </w:r>
    </w:p>
    <w:p w14:paraId="6673D3B6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1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.合同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协议书；</w:t>
      </w:r>
    </w:p>
    <w:p w14:paraId="6F26177F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2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.中标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通知书、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文件、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文件、澄清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答疑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补充文件；</w:t>
      </w:r>
    </w:p>
    <w:p w14:paraId="2792C911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3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相关服务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承诺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；</w:t>
      </w:r>
    </w:p>
    <w:p w14:paraId="58885A1D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本合同签订后，双方依法签订的补充协议也是本合同文件的组成部分。</w:t>
      </w:r>
    </w:p>
    <w:p w14:paraId="1DE61BC4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default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Hans"/>
        </w:rPr>
        <w:t>、合同价款</w:t>
      </w:r>
    </w:p>
    <w:p w14:paraId="21191CA9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合同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单价（含税）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综合定额单价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（大写）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none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Hans"/>
        </w:rPr>
        <w:t xml:space="preserve">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>元/天/人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Hans"/>
        </w:rPr>
        <w:t>（¥        ）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；师资费单价：院士、全国知名专家单价：（大写）：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元/课时（¥        ）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；正高级技术职称专业人员单价：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（大写）：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Hans"/>
        </w:rPr>
        <w:t xml:space="preserve">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>元/课时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Hans"/>
        </w:rPr>
        <w:t>（¥        ）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；副高级技术职称专业人员单价：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（大写）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none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Hans"/>
        </w:rPr>
        <w:t xml:space="preserve">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>元/课时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Hans"/>
        </w:rPr>
        <w:t>（¥        ）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。</w:t>
      </w:r>
    </w:p>
    <w:p w14:paraId="16DEC561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2.合同单价包括：综合定额单价指接待参训学员所发生的每人每天的费用，包含住宿费、伙食费、培训场地费、培训资料费、交通费、其他费用等，为含税价。师资费单价指授课教师所产生的每人每课时的讲课费用，为不含税价。</w:t>
      </w:r>
    </w:p>
    <w:p w14:paraId="6F55FE78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合同单价一次包干，在合同执行过程中不受市场价变化的影响。</w:t>
      </w:r>
    </w:p>
    <w:p w14:paraId="14F5EFDC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3.授课老师师资费个税、城市间交通费、食宿费由采购人向投标人另行据实结算。</w:t>
      </w:r>
    </w:p>
    <w:p w14:paraId="0D1A8FE0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4.以上所有产生的费用均包含在本项目总费用中。</w:t>
      </w:r>
    </w:p>
    <w:p w14:paraId="48B05D51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  <w:t>四、合同结算</w:t>
      </w:r>
    </w:p>
    <w:p w14:paraId="748781F8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1.付款方式：每项培训结束后7个工作日内，乙方须向甲方提供符合甲方要求的结算资料，经甲方核定后，由乙方开具发票（普票）及核定后的结算资料报甲方。甲方收到乙方上述凭证后，在7个工作日内向乙方支付费用。若乙方开具的发票不合格，甲方有权延迟支付款项，且不承担逾期付款的违约责任。</w:t>
      </w:r>
    </w:p>
    <w:p w14:paraId="36659865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2.结算方式：甲方根据合同签订的单价，按照每期培训所发生的实际业务量，通过银行转账的方式据实结算。</w:t>
      </w:r>
    </w:p>
    <w:p w14:paraId="5433F242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3.结算单位：由甲方负责结算，乙方依据合同条款按甲方要求开具发票，并提供经甲方核定合格的结算资料交由甲方。</w:t>
      </w:r>
    </w:p>
    <w:p w14:paraId="0267A2F8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  <w:t>五、服务期限</w:t>
      </w:r>
    </w:p>
    <w:p w14:paraId="733500B8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合同生效之日起至2026年12月31日。</w:t>
      </w:r>
    </w:p>
    <w:p w14:paraId="08A362D8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  <w:t>六、工作内容</w:t>
      </w:r>
    </w:p>
    <w:p w14:paraId="185D6D9D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1.课程设计：乙方要依据甲方需求与培训目标，精心规划培训课程体系，课程内容需紧密贴合干部工作实际，具备实用性与针对性。</w:t>
      </w:r>
    </w:p>
    <w:p w14:paraId="062AD6AC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2.师资配备：负责授课老师必须具备高尚的职业道德修养，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以身作则，为人师表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；必须拥有扎实的专业知识基础，精通所教授的专业领域，能够将复杂的专业知识讲解得浅显易懂；必须具备丰富的实际工作经验，能够将理论与实践相结合，以增强培训的针对性和实效性。每期举办培训时，授课教师名单及资质材料要提前提交甲方审核，未经同意不得随意更换。</w:t>
      </w:r>
    </w:p>
    <w:p w14:paraId="764AC1B2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3.教学组织：安排教学进度，把控教学节奏，保证培训有序推进。合理规划每节课时长、课程先后顺序等。培训期间，每天授课不超过8学时，每学时不少于45分钟。在教学过程中，灵活运用多种教学方法，如课堂讲授、小组讨论、实地调研等，提升培训效果。培训组织期间需配备班主任及相关服务人员，负责后勤保障。</w:t>
      </w:r>
    </w:p>
    <w:p w14:paraId="67C2093E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4.培训场地安排：提供符合培训要求的场地，可同时容纳至少120人以上、配备完善教学设备（投影仪、音响等）的教室。若培训涉及现场教学环节，还要安排合适的教学场地，场地变更需提前征得甲方同意且不增加费用。</w:t>
      </w:r>
    </w:p>
    <w:p w14:paraId="1B90A6B8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5.培训资料准备：编制与培训内容配套的教材、讲义、课件等资料，保证资料内容准确、完整、新颖，符合法律法规及政策要求，能辅助干部更好地学习知识、掌握技能。</w:t>
      </w:r>
    </w:p>
    <w:p w14:paraId="7E0FC0E2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6.培训效果评估：在培训结束后，按照甲方要求评估培训效果，为甲方后续干部培训工作提供参考。</w:t>
      </w:r>
    </w:p>
    <w:p w14:paraId="63BF5047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  <w:t>七、验收标准</w:t>
      </w:r>
    </w:p>
    <w:p w14:paraId="14E4D506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依据招标文件、投标文件、中标通知书、合同文件及国家相关规范及标准进行验收。乙方完成所有服务工作后，及时向甲方提交成果并通过甲方审批。</w:t>
      </w:r>
    </w:p>
    <w:p w14:paraId="676C47D3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乙方完成所有培训内容后15日内由甲方组织评估验收。</w:t>
      </w:r>
    </w:p>
    <w:p w14:paraId="63FEE7AC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  <w:t>八、权利和义务</w:t>
      </w:r>
    </w:p>
    <w:p w14:paraId="19BBB976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甲方的权利和义务</w:t>
      </w:r>
    </w:p>
    <w:p w14:paraId="5E76123E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1.根据本项目的实际需要和乙方的要求提供协助，并提供有关的资料，报表及文档等，甲方保证提供的所有资料完整、真实、合法。</w:t>
      </w:r>
    </w:p>
    <w:p w14:paraId="250DE8C1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2.甲方有权对合同规定范围内乙方的服务行为进行监督和检查，拥有监管权。有权核对乙方提供服务所配备的人员数量。对甲方认为不合理的部分有权下达整改通知书，并要求乙方限期整改。</w:t>
      </w:r>
    </w:p>
    <w:p w14:paraId="0AC431AE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3.甲方有权负责检查监督乙方管理工作的实施及制度的执行情况。</w:t>
      </w:r>
    </w:p>
    <w:p w14:paraId="06793D9A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4.甲方应根据本合同规定，按时向乙方支付应付服务费用。</w:t>
      </w:r>
    </w:p>
    <w:p w14:paraId="0F37D214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5.国家法律、法规所规定由甲方承担的其它责任。</w:t>
      </w:r>
    </w:p>
    <w:p w14:paraId="3F7F86E3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乙方的权利和义务</w:t>
      </w:r>
    </w:p>
    <w:p w14:paraId="502115E1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1.对本合同规定的委托服务范围内的项目享有管理权及服务义务。</w:t>
      </w:r>
    </w:p>
    <w:p w14:paraId="4B6B0CF2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2.安全责任：乙方应对其工作人员在现场工作期间的一切行为负责，如安全事故责任及因此发生的人身损害赔偿和其它费用由乙方承担。</w:t>
      </w:r>
    </w:p>
    <w:p w14:paraId="009AF321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3.根据本合同的规定向甲方收取相关服务费用，并有权在本项目管理范围内管理及合理使用。</w:t>
      </w:r>
    </w:p>
    <w:p w14:paraId="213BF8BC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4.乙方应严格遵守采购单位有关保密规定，不得泄漏一切机密；</w:t>
      </w:r>
    </w:p>
    <w:p w14:paraId="611DBD7B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5.在技术服务期间，成交投标人对接触到的有关采购单位商业活动、技术情报和技术资料等文件进行保密。</w:t>
      </w:r>
    </w:p>
    <w:p w14:paraId="6601759B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6.乙方应及时向甲方通告本项目服务范围内有关服务的重大事项，及时配合处理各种突发事件。</w:t>
      </w:r>
    </w:p>
    <w:p w14:paraId="20CE9AF0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7.乙方接受项目行业管理部门及政府有关部门的指导，接受甲方的监督。</w:t>
      </w:r>
    </w:p>
    <w:p w14:paraId="1109D643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8.国家法律、法规所规定由乙方承担的其它责任。</w:t>
      </w:r>
    </w:p>
    <w:p w14:paraId="015AB4C3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  <w:t>九、知识产权条款</w:t>
      </w:r>
    </w:p>
    <w:p w14:paraId="166FC7FF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1.因本协议产生的工作成果（文档、报表、图纸等)由甲方享有知识产权。未经甲方书面许可，乙方不得许可第三方阅读、使用或复制。</w:t>
      </w:r>
    </w:p>
    <w:p w14:paraId="73C76028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2.乙方保证其工作成果及其调查过程不侵犯第三人的知识产权，如第三方以该成果侵犯知识产权为由提起诉讼，乙方将以自己的费用解决问题，并赔偿因此给甲方造成的损失。</w:t>
      </w:r>
    </w:p>
    <w:p w14:paraId="55244580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  <w:t>十、违约责任及协议的解除</w:t>
      </w:r>
    </w:p>
    <w:p w14:paraId="502BDBE8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1.按《民法典》中的相关条款执行。</w:t>
      </w:r>
    </w:p>
    <w:p w14:paraId="2C20577B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2.双方应严格履行本合同，任何一方违反本合同均应承担违约责任。</w:t>
      </w:r>
    </w:p>
    <w:p w14:paraId="2346881B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3.由于工作成果质量低劣未达到合同中约定的验收标准、由于乙方责任导致服务期延误或乙方有其他违反本合同条款行为的，甲方随时享有单方解除本合同的权利，并享有就由于上述原因造成甲方的全部损失（包括但不限于甲方在此之前支付的所有费用）向乙方要求赔偿的权利。</w:t>
      </w:r>
    </w:p>
    <w:p w14:paraId="2A4FC159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4.在本合同履行过程中，由于乙方原因导致服务无法进行的，由乙方承担由此为甲方造成的全部损失。</w:t>
      </w:r>
    </w:p>
    <w:p w14:paraId="640850A7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5.除非经甲方书面认可，乙方未能按期完成本合同项目的，则每逾期一天向甲方支付合同总款项1%的违约金。</w:t>
      </w:r>
    </w:p>
    <w:p w14:paraId="66CFEECC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6.乙方擅自将合同项目的全部或部分转让委托给第三方，甲方有权解除合同，乙方应立即返还所有甲方支付的费用，并支付违约金，违约金为合同总款项的10%。</w:t>
      </w:r>
    </w:p>
    <w:p w14:paraId="3F22F902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  <w:t>十一、争议解决方式</w:t>
      </w:r>
    </w:p>
    <w:p w14:paraId="72C2BF7D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甲、乙双方在协议履行过程中发生争议的，应及时协商解决。</w:t>
      </w:r>
    </w:p>
    <w:p w14:paraId="6B626DAB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  <w:t>十二、其他</w:t>
      </w:r>
    </w:p>
    <w:p w14:paraId="5147E414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1.乙方承诺在服务期内，无条件配合甲方进行。</w:t>
      </w:r>
    </w:p>
    <w:p w14:paraId="48B92A6A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2.本合同附件与正文具有同等法律效力。</w:t>
      </w:r>
    </w:p>
    <w:p w14:paraId="52740015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lang w:val="en-US" w:eastAsia="zh-CN"/>
        </w:rPr>
        <w:t>十三、合同生效及其它</w:t>
      </w:r>
    </w:p>
    <w:p w14:paraId="4BD416CE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1.合同未尽事宜、由甲、乙双方协商，作为合同补充，与原合同具有同等法律效力。</w:t>
      </w:r>
    </w:p>
    <w:p w14:paraId="504910CC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2.本合同正本一式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>陆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份，甲方、乙方双方分别执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>叁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份。</w:t>
      </w:r>
    </w:p>
    <w:p w14:paraId="2A42C609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3.合同经甲乙双方盖章、签字后生效。</w:t>
      </w:r>
    </w:p>
    <w:p w14:paraId="6C11AF5F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4、生效时间：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日</w:t>
      </w:r>
    </w:p>
    <w:p w14:paraId="66F0FE65">
      <w:pPr>
        <w:pStyle w:val="6"/>
        <w:ind w:firstLine="278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</w:rPr>
      </w:pPr>
    </w:p>
    <w:p w14:paraId="2C75AA64">
      <w:pPr>
        <w:pStyle w:val="6"/>
        <w:ind w:firstLine="278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</w:rPr>
      </w:pPr>
    </w:p>
    <w:p w14:paraId="115A9914">
      <w:pPr>
        <w:pStyle w:val="6"/>
        <w:ind w:firstLine="278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4D8FC0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4643" w:type="dxa"/>
          </w:tcPr>
          <w:p w14:paraId="0C9DCDFD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甲方名称（盖章）:</w:t>
            </w:r>
          </w:p>
          <w:p w14:paraId="5EA351FA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地址：</w:t>
            </w:r>
          </w:p>
          <w:p w14:paraId="5F7458E7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代表人（签字）：</w:t>
            </w:r>
          </w:p>
          <w:p w14:paraId="1065331F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电话：</w:t>
            </w:r>
          </w:p>
          <w:p w14:paraId="17066D53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开户银行：</w:t>
            </w:r>
          </w:p>
          <w:p w14:paraId="2D97E587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帐号：</w:t>
            </w:r>
          </w:p>
        </w:tc>
        <w:tc>
          <w:tcPr>
            <w:tcW w:w="4643" w:type="dxa"/>
          </w:tcPr>
          <w:p w14:paraId="73C9BA02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乙方名称（盖章）:</w:t>
            </w:r>
          </w:p>
          <w:p w14:paraId="01104A10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地址：</w:t>
            </w:r>
          </w:p>
          <w:p w14:paraId="796CC971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代表人（签字）：</w:t>
            </w:r>
          </w:p>
          <w:p w14:paraId="3FE801A1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电话：</w:t>
            </w:r>
          </w:p>
          <w:p w14:paraId="5A3DFC16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开户银行：</w:t>
            </w:r>
          </w:p>
          <w:p w14:paraId="7852A11E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0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帐号：</w:t>
            </w:r>
          </w:p>
        </w:tc>
      </w:tr>
    </w:tbl>
    <w:p w14:paraId="215DDA63">
      <w:pPr>
        <w:rPr>
          <w:rFonts w:hint="eastAsia" w:ascii="仿宋" w:hAnsi="仿宋" w:eastAsia="仿宋" w:cs="仿宋"/>
        </w:rPr>
      </w:pPr>
    </w:p>
    <w:p w14:paraId="7F521E47">
      <w:pPr>
        <w:pStyle w:val="7"/>
        <w:rPr>
          <w:rFonts w:hint="eastAsia" w:ascii="仿宋" w:hAnsi="仿宋" w:eastAsia="仿宋" w:cs="仿宋"/>
          <w:lang w:eastAsia="zh-CN"/>
        </w:rPr>
      </w:pPr>
    </w:p>
    <w:p w14:paraId="2557DBDE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46025F7B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6AC18F7B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40AD2588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0893DA77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22C06A86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3B218045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2D666FF8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681DB562">
      <w:pPr>
        <w:pStyle w:val="7"/>
        <w:rPr>
          <w:rFonts w:hint="eastAsia"/>
          <w:lang w:val="en-US" w:eastAsia="zh-Hans"/>
        </w:rPr>
      </w:pPr>
    </w:p>
    <w:p w14:paraId="6D882E16">
      <w:pPr>
        <w:pStyle w:val="7"/>
        <w:rPr>
          <w:rFonts w:hint="eastAsia"/>
          <w:lang w:val="en-US" w:eastAsia="zh-Hans"/>
        </w:rPr>
      </w:pPr>
    </w:p>
    <w:p w14:paraId="496C3ED2">
      <w:pPr>
        <w:pStyle w:val="7"/>
        <w:rPr>
          <w:rFonts w:hint="eastAsia"/>
          <w:lang w:val="en-US" w:eastAsia="zh-Hans"/>
        </w:rPr>
      </w:pPr>
    </w:p>
    <w:p w14:paraId="43307CC1">
      <w:pPr>
        <w:pStyle w:val="7"/>
        <w:rPr>
          <w:rFonts w:hint="eastAsia"/>
          <w:lang w:val="en-US" w:eastAsia="zh-Hans"/>
        </w:rPr>
      </w:pPr>
    </w:p>
    <w:p w14:paraId="40FDA703">
      <w:pPr>
        <w:pStyle w:val="7"/>
        <w:rPr>
          <w:rFonts w:hint="eastAsia"/>
          <w:lang w:val="en-US" w:eastAsia="zh-Hans"/>
        </w:rPr>
      </w:pPr>
    </w:p>
    <w:p w14:paraId="061F7162">
      <w:pPr>
        <w:pStyle w:val="7"/>
        <w:rPr>
          <w:rFonts w:hint="eastAsia"/>
          <w:lang w:val="en-US" w:eastAsia="zh-Hans"/>
        </w:rPr>
      </w:pPr>
    </w:p>
    <w:p w14:paraId="0453AF19">
      <w:pPr>
        <w:pStyle w:val="7"/>
        <w:rPr>
          <w:rFonts w:hint="eastAsia"/>
          <w:lang w:val="en-US" w:eastAsia="zh-Hans"/>
        </w:rPr>
      </w:pPr>
    </w:p>
    <w:p w14:paraId="60436092">
      <w:pPr>
        <w:pStyle w:val="7"/>
        <w:rPr>
          <w:rFonts w:hint="eastAsia"/>
          <w:lang w:val="en-US" w:eastAsia="zh-Hans"/>
        </w:rPr>
      </w:pPr>
    </w:p>
    <w:p w14:paraId="33A0FE1F">
      <w:pPr>
        <w:pStyle w:val="7"/>
        <w:rPr>
          <w:rFonts w:hint="eastAsia"/>
          <w:lang w:val="en-US" w:eastAsia="zh-Hans"/>
        </w:rPr>
      </w:pPr>
    </w:p>
    <w:p w14:paraId="1BFE5029">
      <w:pPr>
        <w:pStyle w:val="7"/>
        <w:rPr>
          <w:rFonts w:hint="eastAsia"/>
          <w:lang w:val="en-US" w:eastAsia="zh-Hans"/>
        </w:rPr>
      </w:pPr>
    </w:p>
    <w:p w14:paraId="7EF0E21B">
      <w:pPr>
        <w:pStyle w:val="7"/>
        <w:rPr>
          <w:rFonts w:hint="eastAsia"/>
          <w:lang w:val="en-US" w:eastAsia="zh-Hans"/>
        </w:rPr>
      </w:pPr>
    </w:p>
    <w:p w14:paraId="1CAEE706">
      <w:pPr>
        <w:pStyle w:val="7"/>
        <w:rPr>
          <w:rFonts w:hint="eastAsia"/>
          <w:lang w:val="en-US" w:eastAsia="zh-Hans"/>
        </w:rPr>
      </w:pPr>
    </w:p>
    <w:p w14:paraId="1696E759">
      <w:pPr>
        <w:pStyle w:val="7"/>
        <w:rPr>
          <w:rFonts w:hint="eastAsia"/>
          <w:lang w:val="en-US" w:eastAsia="zh-Hans"/>
        </w:rPr>
      </w:pPr>
    </w:p>
    <w:p w14:paraId="23E73114">
      <w:pPr>
        <w:pStyle w:val="7"/>
        <w:rPr>
          <w:rFonts w:hint="eastAsia"/>
          <w:lang w:val="en-US" w:eastAsia="zh-Hans"/>
        </w:rPr>
      </w:pPr>
    </w:p>
    <w:p w14:paraId="56A992D7">
      <w:pPr>
        <w:pStyle w:val="7"/>
        <w:rPr>
          <w:rFonts w:hint="eastAsia"/>
          <w:lang w:val="en-US" w:eastAsia="zh-Hans"/>
        </w:rPr>
      </w:pPr>
    </w:p>
    <w:p w14:paraId="2C56053E">
      <w:pPr>
        <w:pStyle w:val="7"/>
        <w:rPr>
          <w:rFonts w:hint="eastAsia"/>
          <w:lang w:val="en-US" w:eastAsia="zh-Hans"/>
        </w:rPr>
      </w:pPr>
    </w:p>
    <w:p w14:paraId="1E09AFEF">
      <w:pPr>
        <w:pStyle w:val="7"/>
        <w:rPr>
          <w:rFonts w:hint="eastAsia"/>
          <w:lang w:val="en-US" w:eastAsia="zh-Hans"/>
        </w:rPr>
      </w:pPr>
    </w:p>
    <w:p w14:paraId="21F1E45D">
      <w:pPr>
        <w:pStyle w:val="7"/>
        <w:rPr>
          <w:rFonts w:hint="eastAsia"/>
          <w:lang w:val="en-US" w:eastAsia="zh-Hans"/>
        </w:rPr>
      </w:pPr>
    </w:p>
    <w:p w14:paraId="14B14598">
      <w:pPr>
        <w:pStyle w:val="7"/>
        <w:rPr>
          <w:rFonts w:hint="eastAsia"/>
          <w:lang w:val="en-US" w:eastAsia="zh-Hans"/>
        </w:rPr>
      </w:pPr>
    </w:p>
    <w:p w14:paraId="27072EB2">
      <w:pPr>
        <w:pStyle w:val="7"/>
        <w:rPr>
          <w:rFonts w:hint="eastAsia"/>
          <w:lang w:val="en-US" w:eastAsia="zh-Hans"/>
        </w:rPr>
      </w:pPr>
    </w:p>
    <w:p w14:paraId="0AC8F262">
      <w:pPr>
        <w:pStyle w:val="7"/>
        <w:rPr>
          <w:rFonts w:hint="eastAsia"/>
          <w:lang w:val="en-US" w:eastAsia="zh-Hans"/>
        </w:rPr>
      </w:pPr>
    </w:p>
    <w:p w14:paraId="70A5B9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5F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eastAsia="仿宋"/>
      <w:kern w:val="0"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customStyle="1" w:styleId="6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 w:hAnsiTheme="minorHAnsi" w:eastAsiaTheme="minorEastAsia" w:cstheme="minorBidi"/>
      <w:kern w:val="0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2026-03-10T08:07:58Z</dcterms:created>
  <dc:creator>0</dc:creator>
  <cp:lastModifiedBy>梦雨</cp:lastModifiedBy>
  <dcterms:modified xsi:type="dcterms:W3CDTF">2026-03-10T08:08:29Z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526A37C2A6A748D4834F63A450509694_12</vt:lpwstr>
  </property>
</Properties>
</file>