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版本号：CT-ZB00-010-2026..120260310001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陕西省交通运输厅干部教育培训项目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CT-ZB00-010-2026..1</w:t>
      </w:r>
      <w:r>
        <w:br/>
      </w:r>
      <w:r>
        <w:br/>
      </w:r>
      <w:r>
        <w:br/>
      </w:r>
    </w:p>
    <w:p>
      <w:pPr>
        <w:pStyle w:val="null3"/>
        <w:jc w:val="center"/>
        <w:outlineLvl w:val="2"/>
      </w:pPr>
      <w:r>
        <w:rPr>
          <w:rFonts w:ascii="仿宋_GB2312" w:hAnsi="仿宋_GB2312" w:cs="仿宋_GB2312" w:eastAsia="仿宋_GB2312"/>
          <w:sz w:val="28"/>
          <w:b/>
        </w:rPr>
        <w:t>陕西省交通职业能力建设中心</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陕西省交通职业能力建设中心</w:t>
      </w:r>
      <w:r>
        <w:rPr>
          <w:rFonts w:ascii="仿宋_GB2312" w:hAnsi="仿宋_GB2312" w:cs="仿宋_GB2312" w:eastAsia="仿宋_GB2312"/>
        </w:rPr>
        <w:t>委托，拟对</w:t>
      </w:r>
      <w:r>
        <w:rPr>
          <w:rFonts w:ascii="仿宋_GB2312" w:hAnsi="仿宋_GB2312" w:cs="仿宋_GB2312" w:eastAsia="仿宋_GB2312"/>
        </w:rPr>
        <w:t>陕西省交通运输厅干部教育培训项目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CT-ZB00-010-2026..1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陕西省交通运输厅干部教育培训项目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交通运输厅干部教育培训项目1批共22项专题培训，培训内容涵盖加快建设交通强国、构建综合交通运输体系等多个领域，培训对象为交通系统领导干部及从业人员，采取省内线下集中培训的方式进行，旨在提升干部队伍和从业人员综合能力素质和业务水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1、投标主体资格证明：投标人应具有独立承担民事责任的能力的企业法人、事业法人、其他组织或自然人，出具合法有效的营业执照等相关证明文件，自然人参与的提供其身份证明；</w:t>
      </w:r>
    </w:p>
    <w:p>
      <w:pPr>
        <w:pStyle w:val="null3"/>
      </w:pPr>
      <w:r>
        <w:rPr>
          <w:rFonts w:ascii="仿宋_GB2312" w:hAnsi="仿宋_GB2312" w:cs="仿宋_GB2312" w:eastAsia="仿宋_GB2312"/>
        </w:rPr>
        <w:t>2、法定代表人授权书及被授权人身份证复印件：法定代表人直接参加投标的，须出具法人身份证，并与营业执照上信息一致。法定代表人授权代表参加投标的，须出具法定代表人授权书及授权代表身份证，投标人授权代表提供本单位社保证明材料（至少提供投标文件递交截止之日前连续三个月的在本单位缴纳社保证明材料，不含开标当月）；</w:t>
      </w:r>
    </w:p>
    <w:p>
      <w:pPr>
        <w:pStyle w:val="null3"/>
      </w:pPr>
      <w:r>
        <w:rPr>
          <w:rFonts w:ascii="仿宋_GB2312" w:hAnsi="仿宋_GB2312" w:cs="仿宋_GB2312" w:eastAsia="仿宋_GB2312"/>
        </w:rPr>
        <w:t>3、社会保障资金缴纳证明：提供递交投标文件截止时间前一年内至少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4、税收缴纳证明：提供递交投标文件截止时间前一年内至少一个月的纳税证明或完税证明，纳税证明或完税证明上应有代收机构或税务机关的公章或业务专用章；其他组织和自然人提供投标文件截止时间前一年内至少一个月缴纳税收的凭据；依法免税的投标人应提供相关文件证明；</w:t>
      </w:r>
    </w:p>
    <w:p>
      <w:pPr>
        <w:pStyle w:val="null3"/>
      </w:pPr>
      <w:r>
        <w:rPr>
          <w:rFonts w:ascii="仿宋_GB2312" w:hAnsi="仿宋_GB2312" w:cs="仿宋_GB2312" w:eastAsia="仿宋_GB2312"/>
        </w:rPr>
        <w:t>5、财务审计报告：提供2024年度已赋码的经审计的完整的财务审计报告（包括“四表一注”，即资产负债表、利润表、现金流量表、所有者权益变动表及其附注，成立时间至提交投标文件截止时间不足一年的可提供成立后任意时段的资产负债表）,或其开标日期前六个月内其基本开户银行出具的资信证明（附基本存款账户信息或银行开户许可证复印件）。其他组织和自然人提供银行出具的资信证明或财务报表；</w:t>
      </w:r>
    </w:p>
    <w:p>
      <w:pPr>
        <w:pStyle w:val="null3"/>
      </w:pPr>
      <w:r>
        <w:rPr>
          <w:rFonts w:ascii="仿宋_GB2312" w:hAnsi="仿宋_GB2312" w:cs="仿宋_GB2312" w:eastAsia="仿宋_GB2312"/>
        </w:rPr>
        <w:t>6、书面声明：投标人参加政府采购活动前三年内在经营活动中没有重大违法记录的书面声明；</w:t>
      </w:r>
    </w:p>
    <w:p>
      <w:pPr>
        <w:pStyle w:val="null3"/>
      </w:pPr>
      <w:r>
        <w:rPr>
          <w:rFonts w:ascii="仿宋_GB2312" w:hAnsi="仿宋_GB2312" w:cs="仿宋_GB2312" w:eastAsia="仿宋_GB2312"/>
        </w:rPr>
        <w:t>7、信用查询记录：采购代理机构通过“信用中国”网站(www.creditchina.gov.cn)、中国政府采购网(www.ccgp.gov.cn) 等查询相关主体信用记录；查询时间节点为公告发布之日起至本项目进行资格审核时。对列入失信被执行人、重大税收违法案件当事人名单、政府采购严重违法失信行为记录名单及其他不符合《中华人民共和国政府采购法》第二十二条规定条件的投标人，采购代理机构将拒绝其参与政府采购活动；</w:t>
      </w:r>
    </w:p>
    <w:p>
      <w:pPr>
        <w:pStyle w:val="null3"/>
      </w:pPr>
      <w:r>
        <w:rPr>
          <w:rFonts w:ascii="仿宋_GB2312" w:hAnsi="仿宋_GB2312" w:cs="仿宋_GB2312" w:eastAsia="仿宋_GB2312"/>
        </w:rPr>
        <w:t>8、履约能力证明：由投标人自行出具具备履行合同所必需的设备和专业技术能力的承诺书；</w:t>
      </w:r>
    </w:p>
    <w:p>
      <w:pPr>
        <w:pStyle w:val="null3"/>
      </w:pPr>
      <w:r>
        <w:rPr>
          <w:rFonts w:ascii="仿宋_GB2312" w:hAnsi="仿宋_GB2312" w:cs="仿宋_GB2312" w:eastAsia="仿宋_GB2312"/>
        </w:rPr>
        <w:t>9、是否联合体投标：本项目不接受联合体投标，投标人自行出具非联合体投标声明。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陕西省交通职业能力建设中心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16602918181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谭晶晶 、王超、王涛、李博飞、秦瑶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15209184728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采购包1：2,072,900.00元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开户银行：平安银行西安经开区支行</w:t>
            </w:r>
          </w:p>
          <w:p>
            <w:pPr>
              <w:pStyle w:val="null3"/>
            </w:pPr>
            <w:r>
              <w:rPr>
                <w:rFonts w:ascii="仿宋_GB2312" w:hAnsi="仿宋_GB2312" w:cs="仿宋_GB2312" w:eastAsia="仿宋_GB2312"/>
              </w:rPr>
              <w:t>银行账号：30201687008299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代理服务费收费标准：参照原国家计委计价格【2002】1980号文和国家发改委发改办价格【2003】857号文的计算方法（按采购包）按标准下浮15%收取； 银行户名：中昕国际项目管理有限公司 开户银行：中国建设银行股份有限公司西安文景路支行 账 号：61050178150000000278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陕西省交通职业能力建设中心</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陕西省交通职业能力建设中心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陕西省交通职业能力建设中心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联系人：谭晶晶、王超、王涛、李博飞、秦瑶</w:t>
      </w:r>
    </w:p>
    <w:p>
      <w:pPr>
        <w:pStyle w:val="null3"/>
      </w:pPr>
      <w:r>
        <w:rPr>
          <w:rFonts w:ascii="仿宋_GB2312" w:hAnsi="仿宋_GB2312" w:cs="仿宋_GB2312" w:eastAsia="仿宋_GB2312"/>
        </w:rPr>
        <w:t>联系电话：15209184728</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交通运输厅干部教育培训项目1批共22项专题培训，培训内容涵盖加快建设交通强国、构建综合交通运输体系等多个领域，培训对象为交通系统领导干部及从业人员，采取省内线下集中培训的方式进行，旨在提升干部队伍和从业人员综合能力素质和业务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2,072,900.00</w:t>
      </w:r>
    </w:p>
    <w:p>
      <w:pPr>
        <w:pStyle w:val="null3"/>
      </w:pPr>
      <w:r>
        <w:rPr>
          <w:rFonts w:ascii="仿宋_GB2312" w:hAnsi="仿宋_GB2312" w:cs="仿宋_GB2312" w:eastAsia="仿宋_GB2312"/>
        </w:rPr>
        <w:t>采购包最高限价（元）: 2,072,900.00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培训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2,072,900.00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19"/>
              </w:rPr>
              <w:t>陕西省交通运输厅干部教育培训项目</w:t>
            </w:r>
          </w:p>
          <w:p>
            <w:pPr>
              <w:pStyle w:val="null3"/>
              <w:jc w:val="both"/>
            </w:pPr>
            <w:r>
              <w:rPr>
                <w:rFonts w:ascii="仿宋_GB2312" w:hAnsi="仿宋_GB2312" w:cs="仿宋_GB2312" w:eastAsia="仿宋_GB2312"/>
                <w:sz w:val="18"/>
              </w:rPr>
              <w:t>一、项目概述：本次采购涉及陕西省交通运输厅干部教育培训项目，</w:t>
            </w:r>
            <w:r>
              <w:rPr>
                <w:rFonts w:ascii="仿宋_GB2312" w:hAnsi="仿宋_GB2312" w:cs="仿宋_GB2312" w:eastAsia="仿宋_GB2312"/>
                <w:sz w:val="18"/>
              </w:rPr>
              <w:t>1批</w:t>
            </w:r>
            <w:r>
              <w:rPr>
                <w:rFonts w:ascii="仿宋_GB2312" w:hAnsi="仿宋_GB2312" w:cs="仿宋_GB2312" w:eastAsia="仿宋_GB2312"/>
                <w:sz w:val="18"/>
              </w:rPr>
              <w:t>共计</w:t>
            </w:r>
            <w:r>
              <w:rPr>
                <w:rFonts w:ascii="仿宋_GB2312" w:hAnsi="仿宋_GB2312" w:cs="仿宋_GB2312" w:eastAsia="仿宋_GB2312"/>
                <w:sz w:val="18"/>
              </w:rPr>
              <w:t>22项，合作期限自合同生效之日起至2026年</w:t>
            </w:r>
          </w:p>
          <w:p>
            <w:pPr>
              <w:pStyle w:val="null3"/>
              <w:jc w:val="both"/>
            </w:pPr>
            <w:r>
              <w:rPr>
                <w:rFonts w:ascii="仿宋_GB2312" w:hAnsi="仿宋_GB2312" w:cs="仿宋_GB2312" w:eastAsia="仿宋_GB2312"/>
                <w:sz w:val="18"/>
              </w:rPr>
              <w:t>12月31日。采购内容主要包括培训期间</w:t>
            </w:r>
            <w:r>
              <w:rPr>
                <w:rFonts w:ascii="仿宋_GB2312" w:hAnsi="仿宋_GB2312" w:cs="仿宋_GB2312" w:eastAsia="仿宋_GB2312"/>
                <w:sz w:val="18"/>
              </w:rPr>
              <w:t>教学计划的制定与实施，以及</w:t>
            </w:r>
            <w:r>
              <w:rPr>
                <w:rFonts w:ascii="仿宋_GB2312" w:hAnsi="仿宋_GB2312" w:cs="仿宋_GB2312" w:eastAsia="仿宋_GB2312"/>
                <w:sz w:val="18"/>
              </w:rPr>
              <w:t>学员</w:t>
            </w:r>
            <w:r>
              <w:rPr>
                <w:rFonts w:ascii="仿宋_GB2312" w:hAnsi="仿宋_GB2312" w:cs="仿宋_GB2312" w:eastAsia="仿宋_GB2312"/>
                <w:sz w:val="18"/>
              </w:rPr>
              <w:t>的</w:t>
            </w:r>
            <w:r>
              <w:rPr>
                <w:rFonts w:ascii="仿宋_GB2312" w:hAnsi="仿宋_GB2312" w:cs="仿宋_GB2312" w:eastAsia="仿宋_GB2312"/>
                <w:sz w:val="18"/>
              </w:rPr>
              <w:t>食宿安排、教学场地提供、培训教材准备、外</w:t>
            </w:r>
          </w:p>
          <w:p>
            <w:pPr>
              <w:pStyle w:val="null3"/>
              <w:jc w:val="both"/>
            </w:pPr>
            <w:r>
              <w:rPr>
                <w:rFonts w:ascii="仿宋_GB2312" w:hAnsi="仿宋_GB2312" w:cs="仿宋_GB2312" w:eastAsia="仿宋_GB2312"/>
                <w:sz w:val="18"/>
              </w:rPr>
              <w:t>出</w:t>
            </w:r>
            <w:r>
              <w:rPr>
                <w:rFonts w:ascii="仿宋_GB2312" w:hAnsi="仿宋_GB2312" w:cs="仿宋_GB2312" w:eastAsia="仿宋_GB2312"/>
                <w:sz w:val="18"/>
              </w:rPr>
              <w:t>调研组织等后勤保障服务，同时涵盖聘请符合资质的授课教师，并负责教师的往返交通及住宿餐饮等事宜。</w:t>
            </w:r>
          </w:p>
          <w:p>
            <w:pPr>
              <w:pStyle w:val="null3"/>
            </w:pPr>
            <w:r>
              <w:rPr>
                <w:rFonts w:ascii="仿宋_GB2312" w:hAnsi="仿宋_GB2312" w:cs="仿宋_GB2312" w:eastAsia="仿宋_GB2312"/>
                <w:sz w:val="18"/>
              </w:rPr>
              <w:t>二、项目内容及要求</w:t>
            </w:r>
          </w:p>
          <w:p>
            <w:pPr>
              <w:pStyle w:val="null3"/>
            </w:pPr>
            <w:r>
              <w:rPr>
                <w:rFonts w:ascii="仿宋_GB2312" w:hAnsi="仿宋_GB2312" w:cs="仿宋_GB2312" w:eastAsia="仿宋_GB2312"/>
                <w:sz w:val="18"/>
              </w:rPr>
              <w:t>（一）项目内容</w:t>
            </w:r>
          </w:p>
          <w:tbl>
            <w:tblPr>
              <w:tblBorders>
                <w:top w:val="none" w:color="000000" w:sz="4"/>
                <w:left w:val="none" w:color="000000" w:sz="4"/>
                <w:bottom w:val="none" w:color="000000" w:sz="4"/>
                <w:right w:val="none" w:color="000000" w:sz="4"/>
                <w:insideH w:val="none"/>
                <w:insideV w:val="none"/>
              </w:tblBorders>
            </w:tblPr>
            <w:tblGrid>
              <w:gridCol w:w="119"/>
              <w:gridCol w:w="177"/>
              <w:gridCol w:w="239"/>
              <w:gridCol w:w="386"/>
              <w:gridCol w:w="199"/>
              <w:gridCol w:w="173"/>
              <w:gridCol w:w="222"/>
              <w:gridCol w:w="324"/>
              <w:gridCol w:w="328"/>
              <w:gridCol w:w="368"/>
            </w:tblGrid>
            <w:tr>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培训名称</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培训</w:t>
                  </w:r>
                </w:p>
                <w:p>
                  <w:pPr>
                    <w:pStyle w:val="null3"/>
                    <w:jc w:val="center"/>
                  </w:pPr>
                  <w:r>
                    <w:rPr>
                      <w:rFonts w:ascii="仿宋_GB2312" w:hAnsi="仿宋_GB2312" w:cs="仿宋_GB2312" w:eastAsia="仿宋_GB2312"/>
                      <w:sz w:val="18"/>
                      <w:color w:val="000000"/>
                    </w:rPr>
                    <w:t>对象</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培训</w:t>
                  </w:r>
                </w:p>
                <w:p>
                  <w:pPr>
                    <w:pStyle w:val="null3"/>
                    <w:jc w:val="center"/>
                  </w:pPr>
                  <w:r>
                    <w:rPr>
                      <w:rFonts w:ascii="仿宋_GB2312" w:hAnsi="仿宋_GB2312" w:cs="仿宋_GB2312" w:eastAsia="仿宋_GB2312"/>
                      <w:sz w:val="18"/>
                      <w:color w:val="000000"/>
                    </w:rPr>
                    <w:t>内容</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培训时间</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培训方式</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培训期数</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师资</w:t>
                  </w:r>
                </w:p>
                <w:p>
                  <w:pPr>
                    <w:pStyle w:val="null3"/>
                    <w:jc w:val="center"/>
                  </w:pPr>
                  <w:r>
                    <w:rPr>
                      <w:rFonts w:ascii="仿宋_GB2312" w:hAnsi="仿宋_GB2312" w:cs="仿宋_GB2312" w:eastAsia="仿宋_GB2312"/>
                      <w:sz w:val="18"/>
                      <w:color w:val="000000"/>
                    </w:rPr>
                    <w:t>要求</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培训人数</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培训天数</w:t>
                  </w:r>
                  <w:r>
                    <w:rPr>
                      <w:rFonts w:ascii="仿宋_GB2312" w:hAnsi="仿宋_GB2312" w:cs="仿宋_GB2312" w:eastAsia="仿宋_GB2312"/>
                      <w:sz w:val="18"/>
                      <w:color w:val="000000"/>
                    </w:rPr>
                    <w:t>/授课学时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全省保密工作培训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全系统保密干部、涉密人员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保密应知应会常识和技能应用培训。</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2026年5月20日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2人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省级定点帮扶工作培训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长武县省级定点帮扶团成员单位工作人员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学习关于</w:t>
                  </w:r>
                  <w:r>
                    <w:rPr>
                      <w:rFonts w:ascii="仿宋_GB2312" w:hAnsi="仿宋_GB2312" w:cs="仿宋_GB2312" w:eastAsia="仿宋_GB2312"/>
                      <w:sz w:val="18"/>
                      <w:color w:val="000000"/>
                    </w:rPr>
                    <w:t>“三农”工作重要论述、中省市县关于乡村振兴和定点帮扶等相关工作的部署要求。</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2026年5月28日-30日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2人</w:t>
                  </w:r>
                  <w:r>
                    <w:br/>
                  </w: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2人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厅直单位新进人员培训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厅直单位新进人员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党性教育、保密教育、专业能力提升。</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2026年9月16日-20日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6人</w:t>
                  </w:r>
                  <w:r>
                    <w:br/>
                  </w: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4人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交通运输综合执法机构业务培训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各综合执法机构监督人员和业务骨干人员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《处罚法》《强制法》《裁量基准》解读、执法文书制作及执法信息系统操作。</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w:t>
                  </w:r>
                  <w:r>
                    <w:br/>
                  </w:r>
                  <w:r>
                    <w:rPr>
                      <w:rFonts w:ascii="仿宋_GB2312" w:hAnsi="仿宋_GB2312" w:cs="仿宋_GB2312" w:eastAsia="仿宋_GB2312"/>
                      <w:sz w:val="18"/>
                      <w:color w:val="000000"/>
                    </w:rPr>
                    <w:t>10月21日-23日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4人</w:t>
                  </w:r>
                  <w:r>
                    <w:br/>
                  </w: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2人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预决算及财务相关业务培训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厅机关及厅属事业单位财务人员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财会最新政策与制度，部门预决算与绩效评价，政府采购。</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2026年6月29日-30日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2人</w:t>
                  </w:r>
                  <w:r>
                    <w:br/>
                  </w: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2人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全省治超培训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各地市、厅直有关单位治超部门负责人、业务骨干</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治超政策解读和执法实务讲解。</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2026年5月14日-16日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3人</w:t>
                  </w:r>
                  <w:r>
                    <w:br/>
                  </w: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3人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重点交通运输企业主要负责人安全管理培训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全省交通运输行业重点企业主要负责人及安全生产负责人</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行业安全生产法规制度、治本攻坚三年行动</w:t>
                  </w:r>
                  <w:r>
                    <w:rPr>
                      <w:rFonts w:ascii="仿宋_GB2312" w:hAnsi="仿宋_GB2312" w:cs="仿宋_GB2312" w:eastAsia="仿宋_GB2312"/>
                      <w:sz w:val="18"/>
                      <w:color w:val="000000"/>
                    </w:rPr>
                    <w:t>2026年重点任务解读、典型重大事故隐患剖析及生产安全事故调查与责任追究等。</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2026年9月9日-11日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4人</w:t>
                  </w:r>
                  <w:r>
                    <w:br/>
                  </w: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1人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交通运输标准管理培训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各单位标准管理人员及标准编写组人员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标准管理办法及流程，标准编制办法及要求等。</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2026年6月17日-19日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4人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船舶安全检查员培训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市县交通运输综合执法人员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结合我省实际，学习相关法律法规，总结我省典型的风险类型和防控要点及对策建议，指导区域船舶安全检查工作</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2026年11月1日-11月3日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1人     副高</w:t>
                  </w:r>
                </w:p>
                <w:p>
                  <w:pPr>
                    <w:pStyle w:val="null3"/>
                    <w:jc w:val="center"/>
                  </w:pPr>
                  <w:r>
                    <w:rPr>
                      <w:rFonts w:ascii="仿宋_GB2312" w:hAnsi="仿宋_GB2312" w:cs="仿宋_GB2312" w:eastAsia="仿宋_GB2312"/>
                      <w:sz w:val="18"/>
                      <w:color w:val="000000"/>
                    </w:rPr>
                    <w:t>4人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交通运输领域政务服务能力提升培训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厅系统、各地市交通运输局、行政审批局政务服务工作人员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推进政务服务标准化规范化便利化方面最新政策解读、现场教学以及</w:t>
                  </w:r>
                  <w:r>
                    <w:rPr>
                      <w:rFonts w:ascii="仿宋_GB2312" w:hAnsi="仿宋_GB2312" w:cs="仿宋_GB2312" w:eastAsia="仿宋_GB2312"/>
                      <w:sz w:val="18"/>
                      <w:color w:val="000000"/>
                    </w:rPr>
                    <w:t>“一件事”相关系统操作。</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2026年6月17日-19日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2人     副高</w:t>
                  </w:r>
                </w:p>
                <w:p>
                  <w:pPr>
                    <w:pStyle w:val="null3"/>
                    <w:jc w:val="center"/>
                  </w:pPr>
                  <w:r>
                    <w:rPr>
                      <w:rFonts w:ascii="仿宋_GB2312" w:hAnsi="仿宋_GB2312" w:cs="仿宋_GB2312" w:eastAsia="仿宋_GB2312"/>
                      <w:sz w:val="18"/>
                      <w:color w:val="000000"/>
                    </w:rPr>
                    <w:t>2人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基层党建暨意识形态工作培训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厅直系统基层党组织书记</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党的创新理论、党内相关《条例》、提升基层党建工作质量的思路方法等。</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2026年5月26日</w:t>
                  </w:r>
                  <w:r>
                    <w:br/>
                  </w:r>
                  <w:r>
                    <w:rPr>
                      <w:rFonts w:ascii="仿宋_GB2312" w:hAnsi="仿宋_GB2312" w:cs="仿宋_GB2312" w:eastAsia="仿宋_GB2312"/>
                      <w:sz w:val="18"/>
                      <w:color w:val="000000"/>
                    </w:rPr>
                    <w:t>-28日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6人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交通运输行业党建能力提升培训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各地市交通局及省交通运输行业党建工作负责人员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交通运输行业党建方面最新办法宣贯，先进案例教学。</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2026年8月12日-14日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3人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全省公路行业安全生产管理人员培训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各地市交通局、公路（管理）局，省公路应急中心，省公路局有关部门安全生产管理人员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安全生产最新方针政策解读宣贯、公路行业有关法律法规规章制度解读，安全生产事故调查处理案例分析等。</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2026年5月27日-29日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6人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出行信息服务工作培训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各地市公路局、省交控集团、省高速公路收费中心，经营性公司出行信息报送工作相关人员。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“十五五”时期公路交通阻断信息报送工作发展新思路及制度要求；路网系统填报存在问题及注意事项；公路出行信息报送存在问题专题详解。</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2026年6月25日-26日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1人</w:t>
                  </w:r>
                  <w:r>
                    <w:br/>
                  </w: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1人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60人</w:t>
                  </w:r>
                </w:p>
                <w:p>
                  <w:pPr>
                    <w:pStyle w:val="null3"/>
                    <w:jc w:val="center"/>
                  </w:p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干线公路桥梁、隧道养护工程师培训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对省级、市级和县（区）公路管理段桥梁、隧道养护工程师进行技术培训及考核。</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桥梁、隧道养护规范及管理制度讲解，病害分析、判断，定期检查、经常检查、日常巡查以及日常养护要点讲解。</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2026年11月11日-13日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5人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全省公路交通专业应急保障队伍培训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全省各地市交通专业应急保障队伍队员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应急管理基础知识、突发灾害与事故基础知识及应对；应急救援医疗技能；</w:t>
                  </w:r>
                  <w:r>
                    <w:rPr>
                      <w:rFonts w:ascii="仿宋_GB2312" w:hAnsi="仿宋_GB2312" w:cs="仿宋_GB2312" w:eastAsia="仿宋_GB2312"/>
                      <w:sz w:val="18"/>
                      <w:color w:val="000000"/>
                    </w:rPr>
                    <w:t>321型钢桥构件及架设方法。</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2026年9月9日-11日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3人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道路危险货物运输培训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各市交通运输主管危运的处长、业务负责人和业务骨干；各市区道路运输管理部门（含道路运输事业发展中心、交通综合执法支队和行政许可局）负责道路危险货</w:t>
                  </w:r>
                  <w:r>
                    <w:rPr>
                      <w:rFonts w:ascii="仿宋_GB2312" w:hAnsi="仿宋_GB2312" w:cs="仿宋_GB2312" w:eastAsia="仿宋_GB2312"/>
                      <w:sz w:val="18"/>
                      <w:color w:val="000000"/>
                    </w:rPr>
                    <w:t>物运输管理的业务科室领导和</w:t>
                  </w:r>
                  <w:r>
                    <w:rPr>
                      <w:rFonts w:ascii="仿宋_GB2312" w:hAnsi="仿宋_GB2312" w:cs="仿宋_GB2312" w:eastAsia="仿宋_GB2312"/>
                      <w:sz w:val="18"/>
                      <w:color w:val="000000"/>
                    </w:rPr>
                    <w:t>业务骨干；全省</w:t>
                  </w:r>
                  <w:r>
                    <w:rPr>
                      <w:rFonts w:ascii="仿宋_GB2312" w:hAnsi="仿宋_GB2312" w:cs="仿宋_GB2312" w:eastAsia="仿宋_GB2312"/>
                      <w:sz w:val="18"/>
                      <w:color w:val="000000"/>
                    </w:rPr>
                    <w:t>A级和B级危运企业负责人和业务骨干。</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危运行业相关最新国家标准和行业标准，危运电子运单系统操作实务运用等。</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2026年10月13日-15日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6人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道路运输从业资格考试考核员暨师资培训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各市（区）负责道路运输驾驶员从业资格、出租汽车驾驶员从业资格考试考核人员和培训教学师资人员；申请《从业资格考试考核员证》或到期换证人员。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从业资格考试考核员职责及相关法律法规政策；培训和考试大纲相关内容；考核流程，评分合格标准和注意事项。</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2026年7月10日-11日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1人</w:t>
                  </w:r>
                  <w:r>
                    <w:br/>
                  </w: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1人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2026年全省道路运输安全管理能力提升培训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全省各市（区）交通运输主管部门、道路运输管理机构相关负责人及业务骨干</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道路运输相关安全生产法律法规、最新管理文件规范宣贯、典型事故案例教学等。</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2026年6月11日-12日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3人</w:t>
                  </w:r>
                  <w:r>
                    <w:br/>
                  </w: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1人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水路运输企业安全管理人员培训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全省水路运输企业法人及安全负责人</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水路运输安全管理制度辅导、先进案例教学。</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2026年6月16日-18日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2人</w:t>
                  </w:r>
                  <w:r>
                    <w:br/>
                  </w: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3人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全省公路质量管理人员业务培训</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省市质监站及各高速公路项目质量管理相关技术人员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公路工程质量安全管理业务培训及相关专业技术培训。</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2026年10月15日-16日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2人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16学时</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全省干线公路养护定额宣贯</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厅直有关单位及各地市公路养护管理单位从业人员</w:t>
                  </w: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干线公路养护工程和日常养护计价依据宣传贯彻及造价案例解析。</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2026年5月19日-20日</w:t>
                  </w:r>
                </w:p>
              </w:tc>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省内线下</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正高</w:t>
                  </w:r>
                </w:p>
                <w:p>
                  <w:pPr>
                    <w:pStyle w:val="null3"/>
                    <w:jc w:val="center"/>
                  </w:pPr>
                  <w:r>
                    <w:rPr>
                      <w:rFonts w:ascii="仿宋_GB2312" w:hAnsi="仿宋_GB2312" w:cs="仿宋_GB2312" w:eastAsia="仿宋_GB2312"/>
                      <w:sz w:val="18"/>
                      <w:color w:val="000000"/>
                    </w:rPr>
                    <w:t>1人</w:t>
                  </w:r>
                  <w:r>
                    <w:br/>
                  </w:r>
                  <w:r>
                    <w:rPr>
                      <w:rFonts w:ascii="仿宋_GB2312" w:hAnsi="仿宋_GB2312" w:cs="仿宋_GB2312" w:eastAsia="仿宋_GB2312"/>
                      <w:sz w:val="18"/>
                      <w:color w:val="000000"/>
                    </w:rPr>
                    <w:t>副高</w:t>
                  </w:r>
                </w:p>
                <w:p>
                  <w:pPr>
                    <w:pStyle w:val="null3"/>
                    <w:jc w:val="center"/>
                  </w:pPr>
                  <w:r>
                    <w:rPr>
                      <w:rFonts w:ascii="仿宋_GB2312" w:hAnsi="仿宋_GB2312" w:cs="仿宋_GB2312" w:eastAsia="仿宋_GB2312"/>
                      <w:sz w:val="18"/>
                      <w:color w:val="000000"/>
                    </w:rPr>
                    <w:t>2人</w:t>
                  </w:r>
                </w:p>
              </w:tc>
              <w:tc>
                <w:tcPr>
                  <w:tcW w:type="dxa" w:w="3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80人</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2天</w:t>
                  </w:r>
                </w:p>
              </w:tc>
            </w:tr>
            <w:tr>
              <w:tc>
                <w:tcPr>
                  <w:tcW w:type="dxa" w:w="119"/>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199"/>
                  <w:vMerge/>
                  <w:tcBorders>
                    <w:top w:val="none" w:color="000000" w:sz="4"/>
                    <w:left w:val="single" w:color="000000" w:sz="4"/>
                    <w:bottom w:val="single" w:color="000000" w:sz="4"/>
                    <w:right w:val="single" w:color="000000" w:sz="4"/>
                  </w:tcBorders>
                </w:tcPr>
                <w:p/>
              </w:tc>
              <w:tc>
                <w:tcPr>
                  <w:tcW w:type="dxa" w:w="173"/>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c>
                <w:tcPr>
                  <w:tcW w:type="dxa" w:w="324"/>
                  <w:vMerge/>
                  <w:tcBorders>
                    <w:top w:val="none" w:color="000000" w:sz="4"/>
                    <w:left w:val="single" w:color="000000" w:sz="4"/>
                    <w:bottom w:val="single" w:color="000000" w:sz="4"/>
                    <w:right w:val="single" w:color="000000" w:sz="4"/>
                  </w:tcBorders>
                </w:tcPr>
                <w:p/>
              </w:tc>
              <w:tc>
                <w:tcPr>
                  <w:tcW w:type="dxa" w:w="32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16学时</w:t>
                  </w:r>
                </w:p>
              </w:tc>
            </w:tr>
          </w:tbl>
          <w:p>
            <w:pPr>
              <w:pStyle w:val="null3"/>
              <w:jc w:val="both"/>
            </w:pPr>
            <w:r>
              <w:rPr>
                <w:rFonts w:ascii="仿宋_GB2312" w:hAnsi="仿宋_GB2312" w:cs="仿宋_GB2312" w:eastAsia="仿宋_GB2312"/>
                <w:sz w:val="18"/>
              </w:rPr>
              <w:t>（二）培训要求</w:t>
            </w:r>
          </w:p>
          <w:p>
            <w:pPr>
              <w:pStyle w:val="null3"/>
              <w:jc w:val="left"/>
            </w:pPr>
            <w:r>
              <w:rPr>
                <w:rFonts w:ascii="仿宋_GB2312" w:hAnsi="仿宋_GB2312" w:cs="仿宋_GB2312" w:eastAsia="仿宋_GB2312"/>
                <w:sz w:val="18"/>
              </w:rPr>
              <w:t>为高质量完成本次干部教育培训任务，确保培训实效性、专业性与安全性，对场地设施、课程教学、后勤保障及综合管理等环节提出系统性要求。</w:t>
            </w:r>
          </w:p>
          <w:p>
            <w:pPr>
              <w:pStyle w:val="null3"/>
              <w:jc w:val="left"/>
            </w:pPr>
            <w:r>
              <w:rPr>
                <w:rFonts w:ascii="仿宋_GB2312" w:hAnsi="仿宋_GB2312" w:cs="仿宋_GB2312" w:eastAsia="仿宋_GB2312"/>
                <w:sz w:val="18"/>
                <w:b/>
              </w:rPr>
              <w:t>1.</w:t>
            </w:r>
            <w:r>
              <w:rPr>
                <w:rFonts w:ascii="仿宋_GB2312" w:hAnsi="仿宋_GB2312" w:cs="仿宋_GB2312" w:eastAsia="仿宋_GB2312"/>
                <w:sz w:val="18"/>
                <w:b/>
              </w:rPr>
              <w:t>教学场地与硬件配置标准</w:t>
            </w:r>
            <w:r>
              <w:rPr>
                <w:rFonts w:ascii="仿宋_GB2312" w:hAnsi="仿宋_GB2312" w:cs="仿宋_GB2312" w:eastAsia="仿宋_GB2312"/>
                <w:sz w:val="18"/>
                <w:b/>
              </w:rPr>
              <w:t>要求</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场地基本要求：</w:t>
            </w:r>
            <w:r>
              <w:rPr>
                <w:rFonts w:ascii="仿宋_GB2312" w:hAnsi="仿宋_GB2312" w:cs="仿宋_GB2312" w:eastAsia="仿宋_GB2312"/>
                <w:sz w:val="18"/>
              </w:rPr>
              <w:t>投标人必须</w:t>
            </w:r>
            <w:r>
              <w:rPr>
                <w:rFonts w:ascii="仿宋_GB2312" w:hAnsi="仿宋_GB2312" w:cs="仿宋_GB2312" w:eastAsia="仿宋_GB2312"/>
                <w:sz w:val="18"/>
              </w:rPr>
              <w:t>在西安市内</w:t>
            </w:r>
            <w:r>
              <w:rPr>
                <w:rFonts w:ascii="仿宋_GB2312" w:hAnsi="仿宋_GB2312" w:cs="仿宋_GB2312" w:eastAsia="仿宋_GB2312"/>
                <w:sz w:val="18"/>
              </w:rPr>
              <w:t>有能够满足本项目培训需求的独立</w:t>
            </w:r>
            <w:r>
              <w:rPr>
                <w:rFonts w:ascii="仿宋_GB2312" w:hAnsi="仿宋_GB2312" w:cs="仿宋_GB2312" w:eastAsia="仿宋_GB2312"/>
                <w:sz w:val="18"/>
              </w:rPr>
              <w:t>场所，</w:t>
            </w:r>
            <w:r>
              <w:rPr>
                <w:rFonts w:ascii="仿宋_GB2312" w:hAnsi="仿宋_GB2312" w:cs="仿宋_GB2312" w:eastAsia="仿宋_GB2312"/>
                <w:sz w:val="18"/>
              </w:rPr>
              <w:t>场所应该拥有足够的空间和齐备的设施，以确保培训工作有序开展。</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主教学空间：须配备不少于一个可容纳</w:t>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0人以上的标准化多媒体教室</w:t>
            </w:r>
            <w:r>
              <w:rPr>
                <w:rFonts w:ascii="仿宋_GB2312" w:hAnsi="仿宋_GB2312" w:cs="仿宋_GB2312" w:eastAsia="仿宋_GB2312"/>
                <w:sz w:val="18"/>
              </w:rPr>
              <w:t>。教室应布局合理、宽敞明亮，采光通风条件好，设备齐全（</w:t>
            </w:r>
            <w:r>
              <w:rPr>
                <w:rFonts w:ascii="仿宋_GB2312" w:hAnsi="仿宋_GB2312" w:cs="仿宋_GB2312" w:eastAsia="仿宋_GB2312"/>
                <w:sz w:val="18"/>
              </w:rPr>
              <w:t>LED演示屏、投影仪、笔记本电脑、话筒等</w:t>
            </w:r>
            <w:r>
              <w:rPr>
                <w:rFonts w:ascii="仿宋_GB2312" w:hAnsi="仿宋_GB2312" w:cs="仿宋_GB2312" w:eastAsia="仿宋_GB2312"/>
                <w:sz w:val="18"/>
              </w:rPr>
              <w:t>），采暖防暑设备运转正常，并便于人员紧急疏散。</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辅助研讨空间：须根据教学需要，配备相应数量的分组讨论室，以满足互动研讨、案例教学等需求。</w:t>
            </w:r>
          </w:p>
          <w:p>
            <w:pPr>
              <w:pStyle w:val="null3"/>
              <w:jc w:val="left"/>
            </w:pPr>
            <w:r>
              <w:rPr>
                <w:rFonts w:ascii="仿宋_GB2312" w:hAnsi="仿宋_GB2312" w:cs="仿宋_GB2312" w:eastAsia="仿宋_GB2312"/>
                <w:sz w:val="18"/>
                <w:b/>
              </w:rPr>
              <w:t>2.</w:t>
            </w:r>
            <w:r>
              <w:rPr>
                <w:rFonts w:ascii="仿宋_GB2312" w:hAnsi="仿宋_GB2312" w:cs="仿宋_GB2312" w:eastAsia="仿宋_GB2312"/>
                <w:sz w:val="18"/>
                <w:b/>
              </w:rPr>
              <w:t>教学体系设计与课程实施准则</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教学</w:t>
            </w:r>
            <w:r>
              <w:rPr>
                <w:rFonts w:ascii="仿宋_GB2312" w:hAnsi="仿宋_GB2312" w:cs="仿宋_GB2312" w:eastAsia="仿宋_GB2312"/>
                <w:sz w:val="18"/>
              </w:rPr>
              <w:t>时间安排</w:t>
            </w:r>
            <w:r>
              <w:rPr>
                <w:rFonts w:ascii="仿宋_GB2312" w:hAnsi="仿宋_GB2312" w:cs="仿宋_GB2312" w:eastAsia="仿宋_GB2312"/>
                <w:sz w:val="18"/>
              </w:rPr>
              <w:t>：严格执行项目规定的总学时要求。每日课程安排应饱满、紧凑，有效教学时间控制在</w:t>
            </w:r>
            <w:r>
              <w:rPr>
                <w:rFonts w:ascii="仿宋_GB2312" w:hAnsi="仿宋_GB2312" w:cs="仿宋_GB2312" w:eastAsia="仿宋_GB2312"/>
                <w:sz w:val="18"/>
              </w:rPr>
              <w:t>8学时之内</w:t>
            </w:r>
            <w:r>
              <w:rPr>
                <w:rFonts w:ascii="仿宋_GB2312" w:hAnsi="仿宋_GB2312" w:cs="仿宋_GB2312" w:eastAsia="仿宋_GB2312"/>
                <w:sz w:val="18"/>
              </w:rPr>
              <w:t>，每学时不少于</w:t>
            </w:r>
            <w:r>
              <w:rPr>
                <w:rFonts w:ascii="仿宋_GB2312" w:hAnsi="仿宋_GB2312" w:cs="仿宋_GB2312" w:eastAsia="仿宋_GB2312"/>
                <w:sz w:val="18"/>
              </w:rPr>
              <w:t>45分钟。</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内容与形式</w:t>
            </w:r>
            <w:r>
              <w:rPr>
                <w:rFonts w:ascii="仿宋_GB2312" w:hAnsi="仿宋_GB2312" w:cs="仿宋_GB2312" w:eastAsia="仿宋_GB2312"/>
                <w:sz w:val="18"/>
              </w:rPr>
              <w:t>：</w:t>
            </w:r>
            <w:r>
              <w:rPr>
                <w:rFonts w:ascii="仿宋_GB2312" w:hAnsi="仿宋_GB2312" w:cs="仿宋_GB2312" w:eastAsia="仿宋_GB2312"/>
                <w:sz w:val="18"/>
              </w:rPr>
              <w:t>课程必须突出政治性、时代性与实践性</w:t>
            </w:r>
            <w:r>
              <w:rPr>
                <w:rFonts w:ascii="仿宋_GB2312" w:hAnsi="仿宋_GB2312" w:cs="仿宋_GB2312" w:eastAsia="仿宋_GB2312"/>
                <w:sz w:val="18"/>
              </w:rPr>
              <w:t>，</w:t>
            </w:r>
            <w:r>
              <w:rPr>
                <w:rFonts w:ascii="仿宋_GB2312" w:hAnsi="仿宋_GB2312" w:cs="仿宋_GB2312" w:eastAsia="仿宋_GB2312"/>
                <w:sz w:val="18"/>
              </w:rPr>
              <w:t>将党的最新理论创新成果作为教学的中心内容和必修课程。课程设计需紧密围绕当前工作实际，突出问题导向与能力短板</w:t>
            </w:r>
            <w:r>
              <w:rPr>
                <w:rFonts w:ascii="仿宋_GB2312" w:hAnsi="仿宋_GB2312" w:cs="仿宋_GB2312" w:eastAsia="仿宋_GB2312"/>
                <w:sz w:val="18"/>
              </w:rPr>
              <w:t>，</w:t>
            </w:r>
            <w:r>
              <w:rPr>
                <w:rFonts w:ascii="仿宋_GB2312" w:hAnsi="仿宋_GB2312" w:cs="仿宋_GB2312" w:eastAsia="仿宋_GB2312"/>
                <w:sz w:val="18"/>
              </w:rPr>
              <w:t>理论教学应与案例分析、实操演练、专题研讨等实践环节深度融合。</w:t>
            </w:r>
          </w:p>
          <w:p>
            <w:pPr>
              <w:pStyle w:val="null3"/>
              <w:jc w:val="left"/>
            </w:pPr>
            <w:r>
              <w:rPr>
                <w:rFonts w:ascii="仿宋_GB2312" w:hAnsi="仿宋_GB2312" w:cs="仿宋_GB2312" w:eastAsia="仿宋_GB2312"/>
                <w:sz w:val="18"/>
                <w:b/>
              </w:rPr>
              <w:t>3.</w:t>
            </w:r>
            <w:r>
              <w:rPr>
                <w:rFonts w:ascii="仿宋_GB2312" w:hAnsi="仿宋_GB2312" w:cs="仿宋_GB2312" w:eastAsia="仿宋_GB2312"/>
                <w:sz w:val="18"/>
                <w:b/>
              </w:rPr>
              <w:t>师资配备与教学资源</w:t>
            </w:r>
            <w:r>
              <w:rPr>
                <w:rFonts w:ascii="仿宋_GB2312" w:hAnsi="仿宋_GB2312" w:cs="仿宋_GB2312" w:eastAsia="仿宋_GB2312"/>
                <w:sz w:val="18"/>
                <w:b/>
              </w:rPr>
              <w:t>要求</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师资选聘标准</w:t>
            </w:r>
            <w:r>
              <w:rPr>
                <w:rFonts w:ascii="仿宋_GB2312" w:hAnsi="仿宋_GB2312" w:cs="仿宋_GB2312" w:eastAsia="仿宋_GB2312"/>
                <w:sz w:val="18"/>
              </w:rPr>
              <w:t>要求</w:t>
            </w:r>
          </w:p>
          <w:p>
            <w:pPr>
              <w:pStyle w:val="null3"/>
              <w:jc w:val="left"/>
            </w:pPr>
            <w:r>
              <w:rPr>
                <w:rFonts w:ascii="仿宋_GB2312" w:hAnsi="仿宋_GB2312" w:cs="仿宋_GB2312" w:eastAsia="仿宋_GB2312"/>
                <w:sz w:val="18"/>
              </w:rPr>
              <w:t>投标人</w:t>
            </w:r>
            <w:r>
              <w:rPr>
                <w:rFonts w:ascii="仿宋_GB2312" w:hAnsi="仿宋_GB2312" w:cs="仿宋_GB2312" w:eastAsia="仿宋_GB2312"/>
                <w:sz w:val="18"/>
              </w:rPr>
              <w:t>应</w:t>
            </w:r>
            <w:r>
              <w:rPr>
                <w:rFonts w:ascii="仿宋_GB2312" w:hAnsi="仿宋_GB2312" w:cs="仿宋_GB2312" w:eastAsia="仿宋_GB2312"/>
                <w:sz w:val="18"/>
              </w:rPr>
              <w:t>拥有完善</w:t>
            </w:r>
            <w:r>
              <w:rPr>
                <w:rFonts w:ascii="仿宋_GB2312" w:hAnsi="仿宋_GB2312" w:cs="仿宋_GB2312" w:eastAsia="仿宋_GB2312"/>
                <w:sz w:val="18"/>
              </w:rPr>
              <w:t>的师资库</w:t>
            </w:r>
            <w:r>
              <w:rPr>
                <w:rFonts w:ascii="仿宋_GB2312" w:hAnsi="仿宋_GB2312" w:cs="仿宋_GB2312" w:eastAsia="仿宋_GB2312"/>
                <w:sz w:val="18"/>
              </w:rPr>
              <w:t>和课程库，具备</w:t>
            </w:r>
            <w:r>
              <w:rPr>
                <w:rFonts w:ascii="仿宋_GB2312" w:hAnsi="仿宋_GB2312" w:cs="仿宋_GB2312" w:eastAsia="仿宋_GB2312"/>
                <w:sz w:val="18"/>
              </w:rPr>
              <w:t>满足</w:t>
            </w:r>
            <w:r>
              <w:rPr>
                <w:rFonts w:ascii="仿宋_GB2312" w:hAnsi="仿宋_GB2312" w:cs="仿宋_GB2312" w:eastAsia="仿宋_GB2312"/>
                <w:sz w:val="18"/>
              </w:rPr>
              <w:t>采购人的培训需求和</w:t>
            </w:r>
            <w:r>
              <w:rPr>
                <w:rFonts w:ascii="仿宋_GB2312" w:hAnsi="仿宋_GB2312" w:cs="仿宋_GB2312" w:eastAsia="仿宋_GB2312"/>
                <w:sz w:val="18"/>
              </w:rPr>
              <w:t>学员的学习需求</w:t>
            </w:r>
            <w:r>
              <w:rPr>
                <w:rFonts w:ascii="仿宋_GB2312" w:hAnsi="仿宋_GB2312" w:cs="仿宋_GB2312" w:eastAsia="仿宋_GB2312"/>
                <w:sz w:val="18"/>
              </w:rPr>
              <w:t>的雄厚实力</w:t>
            </w:r>
            <w:r>
              <w:rPr>
                <w:rFonts w:ascii="仿宋_GB2312" w:hAnsi="仿宋_GB2312" w:cs="仿宋_GB2312" w:eastAsia="仿宋_GB2312"/>
                <w:sz w:val="18"/>
              </w:rPr>
              <w:t>。授课教师</w:t>
            </w:r>
            <w:r>
              <w:rPr>
                <w:rFonts w:ascii="仿宋_GB2312" w:hAnsi="仿宋_GB2312" w:cs="仿宋_GB2312" w:eastAsia="仿宋_GB2312"/>
                <w:sz w:val="18"/>
              </w:rPr>
              <w:t>必须</w:t>
            </w:r>
            <w:r>
              <w:rPr>
                <w:rFonts w:ascii="仿宋_GB2312" w:hAnsi="仿宋_GB2312" w:cs="仿宋_GB2312" w:eastAsia="仿宋_GB2312"/>
                <w:sz w:val="18"/>
              </w:rPr>
              <w:t>具备坚定的政治立场和良好的师德师风</w:t>
            </w:r>
            <w:r>
              <w:rPr>
                <w:rFonts w:ascii="仿宋_GB2312" w:hAnsi="仿宋_GB2312" w:cs="仿宋_GB2312" w:eastAsia="仿宋_GB2312"/>
                <w:sz w:val="18"/>
              </w:rPr>
              <w:t>，具</w:t>
            </w:r>
            <w:r>
              <w:rPr>
                <w:rFonts w:ascii="仿宋_GB2312" w:hAnsi="仿宋_GB2312" w:cs="仿宋_GB2312" w:eastAsia="仿宋_GB2312"/>
                <w:sz w:val="18"/>
              </w:rPr>
              <w:t>有深厚理论造诣</w:t>
            </w:r>
            <w:r>
              <w:rPr>
                <w:rFonts w:ascii="仿宋_GB2312" w:hAnsi="仿宋_GB2312" w:cs="仿宋_GB2312" w:eastAsia="仿宋_GB2312"/>
                <w:sz w:val="18"/>
              </w:rPr>
              <w:t>和</w:t>
            </w:r>
            <w:r>
              <w:rPr>
                <w:rFonts w:ascii="仿宋_GB2312" w:hAnsi="仿宋_GB2312" w:cs="仿宋_GB2312" w:eastAsia="仿宋_GB2312"/>
                <w:sz w:val="18"/>
              </w:rPr>
              <w:t>丰富实践经验</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教学资源</w:t>
            </w:r>
            <w:r>
              <w:rPr>
                <w:rFonts w:ascii="仿宋_GB2312" w:hAnsi="仿宋_GB2312" w:cs="仿宋_GB2312" w:eastAsia="仿宋_GB2312"/>
                <w:sz w:val="18"/>
              </w:rPr>
              <w:t>要求</w:t>
            </w:r>
          </w:p>
          <w:p>
            <w:pPr>
              <w:pStyle w:val="null3"/>
              <w:jc w:val="left"/>
            </w:pPr>
            <w:r>
              <w:rPr>
                <w:rFonts w:ascii="仿宋_GB2312" w:hAnsi="仿宋_GB2312" w:cs="仿宋_GB2312" w:eastAsia="仿宋_GB2312"/>
                <w:sz w:val="18"/>
              </w:rPr>
              <w:t>①</w:t>
            </w:r>
            <w:r>
              <w:rPr>
                <w:rFonts w:ascii="仿宋_GB2312" w:hAnsi="仿宋_GB2312" w:cs="仿宋_GB2312" w:eastAsia="仿宋_GB2312"/>
                <w:sz w:val="18"/>
              </w:rPr>
              <w:t>政治理论</w:t>
            </w:r>
            <w:r>
              <w:rPr>
                <w:rFonts w:ascii="仿宋_GB2312" w:hAnsi="仿宋_GB2312" w:cs="仿宋_GB2312" w:eastAsia="仿宋_GB2312"/>
                <w:sz w:val="18"/>
              </w:rPr>
              <w:t>教材</w:t>
            </w:r>
          </w:p>
          <w:p>
            <w:pPr>
              <w:pStyle w:val="null3"/>
              <w:jc w:val="left"/>
            </w:pPr>
            <w:r>
              <w:rPr>
                <w:rFonts w:ascii="仿宋_GB2312" w:hAnsi="仿宋_GB2312" w:cs="仿宋_GB2312" w:eastAsia="仿宋_GB2312"/>
                <w:sz w:val="18"/>
              </w:rPr>
              <w:t>政治理论教材的选用，必须坚持把学习贯彻党的创新理论作为根本遵循，确保教学资料在政治立场、理论观点和学术导向上同党中央保持高度一致。</w:t>
            </w:r>
            <w:r>
              <w:rPr>
                <w:rFonts w:ascii="仿宋_GB2312" w:hAnsi="仿宋_GB2312" w:cs="仿宋_GB2312" w:eastAsia="仿宋_GB2312"/>
                <w:sz w:val="18"/>
              </w:rPr>
              <w:t>选用的</w:t>
            </w:r>
            <w:r>
              <w:rPr>
                <w:rFonts w:ascii="仿宋_GB2312" w:hAnsi="仿宋_GB2312" w:cs="仿宋_GB2312" w:eastAsia="仿宋_GB2312"/>
                <w:sz w:val="18"/>
              </w:rPr>
              <w:t>教材能</w:t>
            </w:r>
            <w:r>
              <w:rPr>
                <w:rFonts w:ascii="仿宋_GB2312" w:hAnsi="仿宋_GB2312" w:cs="仿宋_GB2312" w:eastAsia="仿宋_GB2312"/>
                <w:sz w:val="18"/>
              </w:rPr>
              <w:t>系统、完整地反映党的理论创新与实践创新的最新成果，体现马克思主义基本原理同中国具体实际相结合、同中华优秀传统文化相结合的时代内涵。</w:t>
            </w:r>
            <w:r>
              <w:rPr>
                <w:rFonts w:ascii="仿宋_GB2312" w:hAnsi="仿宋_GB2312" w:cs="仿宋_GB2312" w:eastAsia="仿宋_GB2312"/>
                <w:sz w:val="18"/>
              </w:rPr>
              <w:t>教材</w:t>
            </w:r>
            <w:r>
              <w:rPr>
                <w:rFonts w:ascii="仿宋_GB2312" w:hAnsi="仿宋_GB2312" w:cs="仿宋_GB2312" w:eastAsia="仿宋_GB2312"/>
                <w:sz w:val="18"/>
              </w:rPr>
              <w:t>内容既要阐明基本理论的核心要义，又要清晰展示其发展脉络与实践要求，助力学员深刻理解并自觉运用贯穿其中的立场观点方法，增强贯彻落实党的路线方针政策的自觉性和坚定性。</w:t>
            </w:r>
          </w:p>
          <w:p>
            <w:pPr>
              <w:pStyle w:val="null3"/>
              <w:jc w:val="left"/>
            </w:pPr>
            <w:r>
              <w:rPr>
                <w:rFonts w:ascii="仿宋_GB2312" w:hAnsi="仿宋_GB2312" w:cs="仿宋_GB2312" w:eastAsia="仿宋_GB2312"/>
                <w:sz w:val="18"/>
              </w:rPr>
              <w:t>②</w:t>
            </w:r>
            <w:r>
              <w:rPr>
                <w:rFonts w:ascii="仿宋_GB2312" w:hAnsi="仿宋_GB2312" w:cs="仿宋_GB2312" w:eastAsia="仿宋_GB2312"/>
                <w:sz w:val="18"/>
              </w:rPr>
              <w:t>专业能力</w:t>
            </w:r>
            <w:r>
              <w:rPr>
                <w:rFonts w:ascii="仿宋_GB2312" w:hAnsi="仿宋_GB2312" w:cs="仿宋_GB2312" w:eastAsia="仿宋_GB2312"/>
                <w:sz w:val="18"/>
              </w:rPr>
              <w:t>教材</w:t>
            </w:r>
          </w:p>
          <w:p>
            <w:pPr>
              <w:pStyle w:val="null3"/>
              <w:jc w:val="left"/>
            </w:pPr>
            <w:r>
              <w:rPr>
                <w:rFonts w:ascii="仿宋_GB2312" w:hAnsi="仿宋_GB2312" w:cs="仿宋_GB2312" w:eastAsia="仿宋_GB2312"/>
                <w:sz w:val="18"/>
              </w:rPr>
              <w:t>教材</w:t>
            </w:r>
            <w:r>
              <w:rPr>
                <w:rFonts w:ascii="仿宋_GB2312" w:hAnsi="仿宋_GB2312" w:cs="仿宋_GB2312" w:eastAsia="仿宋_GB2312"/>
                <w:sz w:val="18"/>
              </w:rPr>
              <w:t>必须精准对接</w:t>
            </w:r>
            <w:r>
              <w:rPr>
                <w:rFonts w:ascii="仿宋_GB2312" w:hAnsi="仿宋_GB2312" w:cs="仿宋_GB2312" w:eastAsia="仿宋_GB2312"/>
                <w:sz w:val="18"/>
              </w:rPr>
              <w:t>学员</w:t>
            </w:r>
            <w:r>
              <w:rPr>
                <w:rFonts w:ascii="仿宋_GB2312" w:hAnsi="仿宋_GB2312" w:cs="仿宋_GB2312" w:eastAsia="仿宋_GB2312"/>
                <w:sz w:val="18"/>
              </w:rPr>
              <w:t>的岗位职责、专业领域和</w:t>
            </w:r>
            <w:r>
              <w:rPr>
                <w:rFonts w:ascii="仿宋_GB2312" w:hAnsi="仿宋_GB2312" w:cs="仿宋_GB2312" w:eastAsia="仿宋_GB2312"/>
                <w:sz w:val="18"/>
              </w:rPr>
              <w:t>学习</w:t>
            </w:r>
            <w:r>
              <w:rPr>
                <w:rFonts w:ascii="仿宋_GB2312" w:hAnsi="仿宋_GB2312" w:cs="仿宋_GB2312" w:eastAsia="仿宋_GB2312"/>
                <w:sz w:val="18"/>
              </w:rPr>
              <w:t>需求，强化分类指导与因材施教，促进学习成果向工作实践的</w:t>
            </w:r>
            <w:r>
              <w:rPr>
                <w:rFonts w:ascii="仿宋_GB2312" w:hAnsi="仿宋_GB2312" w:cs="仿宋_GB2312" w:eastAsia="仿宋_GB2312"/>
                <w:sz w:val="18"/>
              </w:rPr>
              <w:t>实质性</w:t>
            </w:r>
            <w:r>
              <w:rPr>
                <w:rFonts w:ascii="仿宋_GB2312" w:hAnsi="仿宋_GB2312" w:cs="仿宋_GB2312" w:eastAsia="仿宋_GB2312"/>
                <w:sz w:val="18"/>
              </w:rPr>
              <w:t>转化。提供与培训主题直接相关的基础理论与前沿知识</w:t>
            </w:r>
            <w:r>
              <w:rPr>
                <w:rFonts w:ascii="仿宋_GB2312" w:hAnsi="仿宋_GB2312" w:cs="仿宋_GB2312" w:eastAsia="仿宋_GB2312"/>
                <w:sz w:val="18"/>
              </w:rPr>
              <w:t>，</w:t>
            </w:r>
            <w:r>
              <w:rPr>
                <w:rFonts w:ascii="仿宋_GB2312" w:hAnsi="仿宋_GB2312" w:cs="仿宋_GB2312" w:eastAsia="仿宋_GB2312"/>
                <w:sz w:val="18"/>
              </w:rPr>
              <w:t>深入分析国家</w:t>
            </w:r>
            <w:r>
              <w:rPr>
                <w:rFonts w:ascii="仿宋_GB2312" w:hAnsi="仿宋_GB2312" w:cs="仿宋_GB2312" w:eastAsia="仿宋_GB2312"/>
                <w:sz w:val="18"/>
              </w:rPr>
              <w:t>关于加快建设交通强国、构建综合交通运输体系的</w:t>
            </w:r>
            <w:r>
              <w:rPr>
                <w:rFonts w:ascii="仿宋_GB2312" w:hAnsi="仿宋_GB2312" w:cs="仿宋_GB2312" w:eastAsia="仿宋_GB2312"/>
                <w:sz w:val="18"/>
              </w:rPr>
              <w:t>战略部署及相关政策法规的背景、要点与实施路径。聚焦当前改革发展的重点难点问题，提供具有可操作性的工作方法与解决方案。</w:t>
            </w:r>
          </w:p>
          <w:p>
            <w:pPr>
              <w:pStyle w:val="null3"/>
              <w:jc w:val="left"/>
            </w:pPr>
            <w:r>
              <w:rPr>
                <w:rFonts w:ascii="仿宋_GB2312" w:hAnsi="仿宋_GB2312" w:cs="仿宋_GB2312" w:eastAsia="仿宋_GB2312"/>
                <w:sz w:val="18"/>
                <w:b/>
              </w:rPr>
              <w:t>4.现场教学组织与管理要求</w:t>
            </w:r>
          </w:p>
          <w:p>
            <w:pPr>
              <w:pStyle w:val="null3"/>
              <w:jc w:val="left"/>
            </w:pPr>
            <w:r>
              <w:rPr>
                <w:rFonts w:ascii="仿宋_GB2312" w:hAnsi="仿宋_GB2312" w:cs="仿宋_GB2312" w:eastAsia="仿宋_GB2312"/>
                <w:sz w:val="18"/>
              </w:rPr>
              <w:t>所选现场教学点</w:t>
            </w:r>
            <w:r>
              <w:rPr>
                <w:rFonts w:ascii="仿宋_GB2312" w:hAnsi="仿宋_GB2312" w:cs="仿宋_GB2312" w:eastAsia="仿宋_GB2312"/>
                <w:sz w:val="18"/>
              </w:rPr>
              <w:t>须</w:t>
            </w:r>
            <w:r>
              <w:rPr>
                <w:rFonts w:ascii="仿宋_GB2312" w:hAnsi="仿宋_GB2312" w:cs="仿宋_GB2312" w:eastAsia="仿宋_GB2312"/>
                <w:sz w:val="18"/>
              </w:rPr>
              <w:t>与培训目标高度契合</w:t>
            </w:r>
            <w:r>
              <w:rPr>
                <w:rFonts w:ascii="仿宋_GB2312" w:hAnsi="仿宋_GB2312" w:cs="仿宋_GB2312" w:eastAsia="仿宋_GB2312"/>
                <w:sz w:val="18"/>
              </w:rPr>
              <w:t>，</w:t>
            </w:r>
            <w:r>
              <w:rPr>
                <w:rFonts w:ascii="仿宋_GB2312" w:hAnsi="仿宋_GB2312" w:cs="仿宋_GB2312" w:eastAsia="仿宋_GB2312"/>
                <w:sz w:val="18"/>
              </w:rPr>
              <w:t>行程安排须提前与采购</w:t>
            </w:r>
            <w:r>
              <w:rPr>
                <w:rFonts w:ascii="仿宋_GB2312" w:hAnsi="仿宋_GB2312" w:cs="仿宋_GB2312" w:eastAsia="仿宋_GB2312"/>
                <w:sz w:val="18"/>
              </w:rPr>
              <w:t>人</w:t>
            </w:r>
            <w:r>
              <w:rPr>
                <w:rFonts w:ascii="仿宋_GB2312" w:hAnsi="仿宋_GB2312" w:cs="仿宋_GB2312" w:eastAsia="仿宋_GB2312"/>
                <w:sz w:val="18"/>
              </w:rPr>
              <w:t>协商一致。现场需</w:t>
            </w:r>
            <w:r>
              <w:rPr>
                <w:rFonts w:ascii="仿宋_GB2312" w:hAnsi="仿宋_GB2312" w:cs="仿宋_GB2312" w:eastAsia="仿宋_GB2312"/>
                <w:sz w:val="18"/>
              </w:rPr>
              <w:t>安排专人负责，</w:t>
            </w:r>
            <w:r>
              <w:rPr>
                <w:rFonts w:ascii="仿宋_GB2312" w:hAnsi="仿宋_GB2312" w:cs="仿宋_GB2312" w:eastAsia="仿宋_GB2312"/>
                <w:sz w:val="18"/>
              </w:rPr>
              <w:t>组织有序，配备专业讲解，确保教学环节衔接流畅、内容深刻、过程安全。</w:t>
            </w:r>
          </w:p>
          <w:p>
            <w:pPr>
              <w:pStyle w:val="null3"/>
              <w:jc w:val="left"/>
            </w:pPr>
            <w:r>
              <w:rPr>
                <w:rFonts w:ascii="仿宋_GB2312" w:hAnsi="仿宋_GB2312" w:cs="仿宋_GB2312" w:eastAsia="仿宋_GB2312"/>
                <w:sz w:val="18"/>
                <w:b/>
              </w:rPr>
              <w:t>5.全周期后勤服务保障要求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负责培训期间的全程保障。包括：组织培训前报到接待，桌签、横幅等培训会场保障；会议资料保障（学员证、学员手册制作、学习文具、学习资料等）；授课设备保障；培训结束后，问卷调查、培训证书发放等工作。其中，会场要求：要拥有一个与承接项目相适应的培训场地，能容纳项目中的最大培训班人数（≥</w:t>
            </w:r>
            <w:r>
              <w:rPr>
                <w:rFonts w:ascii="仿宋_GB2312" w:hAnsi="仿宋_GB2312" w:cs="仿宋_GB2312" w:eastAsia="仿宋_GB2312"/>
                <w:sz w:val="18"/>
              </w:rPr>
              <w:t>12</w:t>
            </w:r>
            <w:r>
              <w:rPr>
                <w:rFonts w:ascii="仿宋_GB2312" w:hAnsi="仿宋_GB2312" w:cs="仿宋_GB2312" w:eastAsia="仿宋_GB2312"/>
                <w:sz w:val="18"/>
              </w:rPr>
              <w:t>0人）；培训场地要配备满足需要的音响设备，多媒体演示设备（笔记本电脑、投影仪、LED演示屏、话筒等）。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）负责保障培训期间的全天食宿（含报到当天简餐）。</w:t>
            </w:r>
          </w:p>
          <w:p>
            <w:pPr>
              <w:pStyle w:val="null3"/>
              <w:jc w:val="both"/>
            </w:pPr>
            <w:r>
              <w:rPr>
                <w:rFonts w:ascii="仿宋_GB2312" w:hAnsi="仿宋_GB2312" w:cs="仿宋_GB2312" w:eastAsia="仿宋_GB2312"/>
                <w:sz w:val="18"/>
              </w:rPr>
              <w:t>住宿要求：酒店客房数量要能至少满足一次性入住</w:t>
            </w:r>
            <w:r>
              <w:rPr>
                <w:rFonts w:ascii="仿宋_GB2312" w:hAnsi="仿宋_GB2312" w:cs="仿宋_GB2312" w:eastAsia="仿宋_GB2312"/>
                <w:sz w:val="18"/>
              </w:rPr>
              <w:t>12</w:t>
            </w:r>
            <w:r>
              <w:rPr>
                <w:rFonts w:ascii="仿宋_GB2312" w:hAnsi="仿宋_GB2312" w:cs="仿宋_GB2312" w:eastAsia="仿宋_GB2312"/>
                <w:sz w:val="18"/>
              </w:rPr>
              <w:t>0人以上的人员的接待能力，房间宽敞、明亮，房内有独立卫浴且24小时供应热水，电视、电话、空调等设备正常运行，包括相关客房服务，房间含早餐。餐厅要求：</w:t>
            </w:r>
            <w:r>
              <w:rPr>
                <w:rFonts w:ascii="仿宋_GB2312" w:hAnsi="仿宋_GB2312" w:cs="仿宋_GB2312" w:eastAsia="仿宋_GB2312"/>
                <w:sz w:val="18"/>
                <w:b/>
                <w:u w:val="single"/>
              </w:rPr>
              <w:t>★①</w:t>
            </w:r>
            <w:r>
              <w:rPr>
                <w:rFonts w:ascii="仿宋_GB2312" w:hAnsi="仿宋_GB2312" w:cs="仿宋_GB2312" w:eastAsia="仿宋_GB2312"/>
                <w:sz w:val="18"/>
                <w:b/>
                <w:u w:val="single"/>
              </w:rPr>
              <w:t>投标人若为自有餐厅</w:t>
            </w:r>
            <w:r>
              <w:rPr>
                <w:rFonts w:ascii="仿宋_GB2312" w:hAnsi="仿宋_GB2312" w:cs="仿宋_GB2312" w:eastAsia="仿宋_GB2312"/>
                <w:sz w:val="18"/>
                <w:b/>
                <w:u w:val="single"/>
              </w:rPr>
              <w:t>，</w:t>
            </w:r>
            <w:r>
              <w:rPr>
                <w:rFonts w:ascii="仿宋_GB2312" w:hAnsi="仿宋_GB2312" w:cs="仿宋_GB2312" w:eastAsia="仿宋_GB2312"/>
                <w:sz w:val="18"/>
                <w:b/>
                <w:u w:val="single"/>
              </w:rPr>
              <w:t>餐厅必须具备</w:t>
            </w:r>
            <w:r>
              <w:rPr>
                <w:rFonts w:ascii="仿宋_GB2312" w:hAnsi="仿宋_GB2312" w:cs="仿宋_GB2312" w:eastAsia="仿宋_GB2312"/>
                <w:sz w:val="18"/>
                <w:b/>
                <w:u w:val="single"/>
              </w:rPr>
              <w:t>食品经营许可证（或相关部门备案），同时</w:t>
            </w:r>
            <w:r>
              <w:rPr>
                <w:rFonts w:ascii="仿宋_GB2312" w:hAnsi="仿宋_GB2312" w:cs="仿宋_GB2312" w:eastAsia="仿宋_GB2312"/>
                <w:sz w:val="18"/>
                <w:b/>
                <w:u w:val="single"/>
              </w:rPr>
              <w:t>投标人</w:t>
            </w:r>
            <w:r>
              <w:rPr>
                <w:rFonts w:ascii="仿宋_GB2312" w:hAnsi="仿宋_GB2312" w:cs="仿宋_GB2312" w:eastAsia="仿宋_GB2312"/>
                <w:sz w:val="18"/>
                <w:b/>
                <w:u w:val="single"/>
              </w:rPr>
              <w:t>须出具卫生承诺书（承诺餐厅卫生须符合国家卫生相关要求），须在投标文件中附食品经营许可证复印件和卫生承诺书，如不提供则将视其投标无效。</w:t>
            </w:r>
            <w:r>
              <w:rPr>
                <w:rFonts w:ascii="仿宋_GB2312" w:hAnsi="仿宋_GB2312" w:cs="仿宋_GB2312" w:eastAsia="仿宋_GB2312"/>
                <w:sz w:val="18"/>
                <w:b/>
                <w:u w:val="single"/>
              </w:rPr>
              <w:t>若为合作</w:t>
            </w:r>
            <w:r>
              <w:rPr>
                <w:rFonts w:ascii="仿宋_GB2312" w:hAnsi="仿宋_GB2312" w:cs="仿宋_GB2312" w:eastAsia="仿宋_GB2312"/>
                <w:sz w:val="18"/>
                <w:b/>
                <w:u w:val="single"/>
              </w:rPr>
              <w:t>餐厅须</w:t>
            </w:r>
            <w:r>
              <w:rPr>
                <w:rFonts w:ascii="仿宋_GB2312" w:hAnsi="仿宋_GB2312" w:cs="仿宋_GB2312" w:eastAsia="仿宋_GB2312"/>
                <w:sz w:val="18"/>
                <w:b/>
                <w:u w:val="single"/>
              </w:rPr>
              <w:t>提供</w:t>
            </w:r>
            <w:r>
              <w:rPr>
                <w:rFonts w:ascii="仿宋_GB2312" w:hAnsi="仿宋_GB2312" w:cs="仿宋_GB2312" w:eastAsia="仿宋_GB2312"/>
                <w:sz w:val="18"/>
                <w:b/>
                <w:u w:val="single"/>
              </w:rPr>
              <w:t>有效合作协议复印件（加盖双方公章，协议须明确餐饮服务合作范围、期限，包含本项目培训就餐服务）</w:t>
            </w:r>
            <w:r>
              <w:rPr>
                <w:rFonts w:ascii="仿宋_GB2312" w:hAnsi="仿宋_GB2312" w:cs="仿宋_GB2312" w:eastAsia="仿宋_GB2312"/>
                <w:sz w:val="18"/>
                <w:b/>
                <w:u w:val="single"/>
              </w:rPr>
              <w:t>+ 合作餐厅的食品经营许可证（或相关主管部门有效备案证明）复印件（加盖合作餐厅公章）</w:t>
            </w:r>
            <w:r>
              <w:rPr>
                <w:rFonts w:ascii="仿宋_GB2312" w:hAnsi="仿宋_GB2312" w:cs="仿宋_GB2312" w:eastAsia="仿宋_GB2312"/>
                <w:sz w:val="18"/>
                <w:b/>
                <w:u w:val="single"/>
              </w:rPr>
              <w:t>，</w:t>
            </w:r>
            <w:r>
              <w:rPr>
                <w:rFonts w:ascii="仿宋_GB2312" w:hAnsi="仿宋_GB2312" w:cs="仿宋_GB2312" w:eastAsia="仿宋_GB2312"/>
                <w:sz w:val="18"/>
                <w:b/>
                <w:u w:val="single"/>
              </w:rPr>
              <w:t>同时</w:t>
            </w:r>
            <w:r>
              <w:rPr>
                <w:rFonts w:ascii="仿宋_GB2312" w:hAnsi="仿宋_GB2312" w:cs="仿宋_GB2312" w:eastAsia="仿宋_GB2312"/>
                <w:sz w:val="18"/>
                <w:b/>
                <w:u w:val="single"/>
              </w:rPr>
              <w:t>投标人</w:t>
            </w:r>
            <w:r>
              <w:rPr>
                <w:rFonts w:ascii="仿宋_GB2312" w:hAnsi="仿宋_GB2312" w:cs="仿宋_GB2312" w:eastAsia="仿宋_GB2312"/>
                <w:sz w:val="18"/>
                <w:b/>
                <w:u w:val="single"/>
              </w:rPr>
              <w:t>须在投标文件中附食品经营许可证复印件和卫生承诺书，如不提供则将视其投标无效</w:t>
            </w:r>
            <w:r>
              <w:rPr>
                <w:rFonts w:ascii="仿宋_GB2312" w:hAnsi="仿宋_GB2312" w:cs="仿宋_GB2312" w:eastAsia="仿宋_GB2312"/>
                <w:sz w:val="18"/>
                <w:b/>
                <w:u w:val="single"/>
              </w:rPr>
              <w:t>。</w:t>
            </w:r>
            <w:r>
              <w:rPr>
                <w:rFonts w:ascii="仿宋_GB2312" w:hAnsi="仿宋_GB2312" w:cs="仿宋_GB2312" w:eastAsia="仿宋_GB2312"/>
                <w:sz w:val="18"/>
              </w:rPr>
              <w:t>②</w:t>
            </w:r>
            <w:r>
              <w:rPr>
                <w:rFonts w:ascii="仿宋_GB2312" w:hAnsi="仿宋_GB2312" w:cs="仿宋_GB2312" w:eastAsia="仿宋_GB2312"/>
                <w:sz w:val="18"/>
              </w:rPr>
              <w:t>拥有至少能接待</w:t>
            </w:r>
            <w:r>
              <w:rPr>
                <w:rFonts w:ascii="仿宋_GB2312" w:hAnsi="仿宋_GB2312" w:cs="仿宋_GB2312" w:eastAsia="仿宋_GB2312"/>
                <w:sz w:val="18"/>
              </w:rPr>
              <w:t>12</w:t>
            </w:r>
            <w:r>
              <w:rPr>
                <w:rFonts w:ascii="仿宋_GB2312" w:hAnsi="仿宋_GB2312" w:cs="仿宋_GB2312" w:eastAsia="仿宋_GB2312"/>
                <w:sz w:val="18"/>
              </w:rPr>
              <w:t>0人同时就餐的供餐环境。</w:t>
            </w:r>
            <w:r>
              <w:rPr>
                <w:rFonts w:ascii="仿宋_GB2312" w:hAnsi="仿宋_GB2312" w:cs="仿宋_GB2312" w:eastAsia="仿宋_GB2312"/>
                <w:sz w:val="18"/>
              </w:rPr>
              <w:t>③</w:t>
            </w:r>
            <w:r>
              <w:rPr>
                <w:rFonts w:ascii="仿宋_GB2312" w:hAnsi="仿宋_GB2312" w:cs="仿宋_GB2312" w:eastAsia="仿宋_GB2312"/>
                <w:sz w:val="18"/>
              </w:rPr>
              <w:t>就餐方式为自助餐或者桌餐，菜品不低于</w:t>
            </w:r>
            <w:r>
              <w:rPr>
                <w:rFonts w:ascii="仿宋_GB2312" w:hAnsi="仿宋_GB2312" w:cs="仿宋_GB2312" w:eastAsia="仿宋_GB2312"/>
                <w:sz w:val="18"/>
              </w:rPr>
              <w:t>10菜（6荤、4素）、1汤、1点心</w:t>
            </w:r>
            <w:r>
              <w:rPr>
                <w:rFonts w:ascii="仿宋_GB2312" w:hAnsi="仿宋_GB2312" w:cs="仿宋_GB2312" w:eastAsia="仿宋_GB2312"/>
                <w:sz w:val="18"/>
              </w:rPr>
              <w:t>。</w:t>
            </w:r>
            <w:r>
              <w:rPr>
                <w:rFonts w:ascii="仿宋_GB2312" w:hAnsi="仿宋_GB2312" w:cs="仿宋_GB2312" w:eastAsia="仿宋_GB2312"/>
                <w:sz w:val="18"/>
              </w:rPr>
              <w:t>④</w:t>
            </w:r>
            <w:r>
              <w:rPr>
                <w:rFonts w:ascii="仿宋_GB2312" w:hAnsi="仿宋_GB2312" w:cs="仿宋_GB2312" w:eastAsia="仿宋_GB2312"/>
                <w:sz w:val="18"/>
              </w:rPr>
              <w:t>培训期间供应茶歇。</w:t>
            </w:r>
          </w:p>
          <w:p>
            <w:pPr>
              <w:pStyle w:val="null3"/>
              <w:jc w:val="both"/>
            </w:pPr>
            <w:r>
              <w:rPr>
                <w:rFonts w:ascii="仿宋_GB2312" w:hAnsi="仿宋_GB2312" w:cs="仿宋_GB2312" w:eastAsia="仿宋_GB2312"/>
                <w:sz w:val="18"/>
                <w:b/>
              </w:rPr>
              <w:t>注：</w:t>
            </w:r>
            <w:r>
              <w:rPr>
                <w:rFonts w:ascii="仿宋_GB2312" w:hAnsi="仿宋_GB2312" w:cs="仿宋_GB2312" w:eastAsia="仿宋_GB2312"/>
                <w:sz w:val="18"/>
                <w:b/>
              </w:rPr>
              <w:t>②③</w:t>
            </w:r>
            <w:r>
              <w:rPr>
                <w:rFonts w:ascii="仿宋_GB2312" w:hAnsi="仿宋_GB2312" w:cs="仿宋_GB2312" w:eastAsia="仿宋_GB2312"/>
                <w:sz w:val="18"/>
                <w:b/>
              </w:rPr>
              <w:t>④</w:t>
            </w:r>
            <w:r>
              <w:rPr>
                <w:rFonts w:ascii="仿宋_GB2312" w:hAnsi="仿宋_GB2312" w:cs="仿宋_GB2312" w:eastAsia="仿宋_GB2312"/>
                <w:sz w:val="18"/>
                <w:b/>
              </w:rPr>
              <w:t>须提供承诺书。</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）负责现场教学场地联系、现场讲解、外出就餐、外出参观车辆（需为合法营运车辆）等保障。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）负责支付授课老师课时费以及其他与培训相关费用。</w:t>
            </w:r>
          </w:p>
          <w:p>
            <w:pPr>
              <w:pStyle w:val="null3"/>
              <w:jc w:val="left"/>
            </w:pPr>
            <w:r>
              <w:rPr>
                <w:rFonts w:ascii="仿宋_GB2312" w:hAnsi="仿宋_GB2312" w:cs="仿宋_GB2312" w:eastAsia="仿宋_GB2312"/>
                <w:sz w:val="18"/>
                <w:b/>
              </w:rPr>
              <w:t>6.综合管理与风险控制要求</w:t>
            </w:r>
          </w:p>
          <w:p>
            <w:pPr>
              <w:pStyle w:val="null3"/>
              <w:jc w:val="left"/>
            </w:pPr>
            <w:r>
              <w:rPr>
                <w:rFonts w:ascii="仿宋_GB2312" w:hAnsi="仿宋_GB2312" w:cs="仿宋_GB2312" w:eastAsia="仿宋_GB2312"/>
                <w:sz w:val="18"/>
              </w:rPr>
              <w:t>为保障培训项目高质量实施，</w:t>
            </w:r>
            <w:r>
              <w:rPr>
                <w:rFonts w:ascii="仿宋_GB2312" w:hAnsi="仿宋_GB2312" w:cs="仿宋_GB2312" w:eastAsia="仿宋_GB2312"/>
                <w:sz w:val="18"/>
              </w:rPr>
              <w:t>投标人</w:t>
            </w:r>
            <w:r>
              <w:rPr>
                <w:rFonts w:ascii="仿宋_GB2312" w:hAnsi="仿宋_GB2312" w:cs="仿宋_GB2312" w:eastAsia="仿宋_GB2312"/>
                <w:sz w:val="18"/>
              </w:rPr>
              <w:t>须全面履行以下服务承诺与保障义务：</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投标人</w:t>
            </w:r>
            <w:r>
              <w:rPr>
                <w:rFonts w:ascii="仿宋_GB2312" w:hAnsi="仿宋_GB2312" w:cs="仿宋_GB2312" w:eastAsia="仿宋_GB2312"/>
                <w:sz w:val="18"/>
              </w:rPr>
              <w:t>无正当理由不得拒绝培训服务；不得超过中标单价收取费用或采取减少服务项目等降低服务质量；不得提供虚假发票；不得不按规定提供发票、费用原始明细单据、电子结算单等凭证；不得不配合</w:t>
            </w:r>
            <w:r>
              <w:rPr>
                <w:rFonts w:ascii="仿宋_GB2312" w:hAnsi="仿宋_GB2312" w:cs="仿宋_GB2312" w:eastAsia="仿宋_GB2312"/>
                <w:sz w:val="18"/>
              </w:rPr>
              <w:t>，甚至</w:t>
            </w:r>
            <w:r>
              <w:rPr>
                <w:rFonts w:ascii="仿宋_GB2312" w:hAnsi="仿宋_GB2312" w:cs="仿宋_GB2312" w:eastAsia="仿宋_GB2312"/>
                <w:sz w:val="18"/>
              </w:rPr>
              <w:t>干扰阻挠采购人正常核查工作。</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投标人</w:t>
            </w:r>
            <w:r>
              <w:rPr>
                <w:rFonts w:ascii="仿宋_GB2312" w:hAnsi="仿宋_GB2312" w:cs="仿宋_GB2312" w:eastAsia="仿宋_GB2312"/>
                <w:sz w:val="18"/>
              </w:rPr>
              <w:t>提供的场地以及服务质量均符合培训要求，能够圆满完成各项培训工作任务；各项培训活动的组织管理规范，保障到位。</w:t>
            </w:r>
          </w:p>
          <w:p>
            <w:pPr>
              <w:pStyle w:val="null3"/>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投标人</w:t>
            </w:r>
            <w:r>
              <w:rPr>
                <w:rFonts w:ascii="仿宋_GB2312" w:hAnsi="仿宋_GB2312" w:cs="仿宋_GB2312" w:eastAsia="仿宋_GB2312"/>
                <w:sz w:val="18"/>
              </w:rPr>
              <w:t>要做好人员保密教育工作，确保参训学员要严格执行保密规定，严禁泄露任何涉及保密的信息和资料；要做好培训活动的安全工作，确保人身、交通、财产、食品、消防等安全。</w:t>
            </w:r>
          </w:p>
          <w:p>
            <w:pPr>
              <w:pStyle w:val="null3"/>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投标人</w:t>
            </w:r>
            <w:r>
              <w:rPr>
                <w:rFonts w:ascii="仿宋_GB2312" w:hAnsi="仿宋_GB2312" w:cs="仿宋_GB2312" w:eastAsia="仿宋_GB2312"/>
                <w:sz w:val="18"/>
              </w:rPr>
              <w:t>应保证采购人获得优先服务的权利，积极主动与采购人配合，按招标文件承诺的标准和质量为采购人提供服务；并在不超过承诺的期限内完成培训工作。</w:t>
            </w:r>
          </w:p>
          <w:p>
            <w:pPr>
              <w:pStyle w:val="null3"/>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投标人</w:t>
            </w:r>
            <w:r>
              <w:rPr>
                <w:rFonts w:ascii="仿宋_GB2312" w:hAnsi="仿宋_GB2312" w:cs="仿宋_GB2312" w:eastAsia="仿宋_GB2312"/>
                <w:sz w:val="18"/>
              </w:rPr>
              <w:t>应设有固定联系电话及联系人，及时响应采购人的各项要求，并按采购人要求免费提供上门服务。</w:t>
            </w:r>
          </w:p>
          <w:p>
            <w:pPr>
              <w:pStyle w:val="null3"/>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投标人</w:t>
            </w:r>
            <w:r>
              <w:rPr>
                <w:rFonts w:ascii="仿宋_GB2312" w:hAnsi="仿宋_GB2312" w:cs="仿宋_GB2312" w:eastAsia="仿宋_GB2312"/>
                <w:sz w:val="18"/>
              </w:rPr>
              <w:t>在接待住宿客人时，必须做到实名登记；在提供培训服务时，须如实向采购人提供有关信息，具体包括：会场名称、培训人数、培训时间、配套服务等；在提供餐饮服务时，须按相应价格合理配置菜单，并将用餐安排、菜单提前与采购人沟通、接受采购人协商调整。</w:t>
            </w:r>
          </w:p>
          <w:p>
            <w:pPr>
              <w:pStyle w:val="null3"/>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投标人</w:t>
            </w:r>
            <w:r>
              <w:rPr>
                <w:rFonts w:ascii="仿宋_GB2312" w:hAnsi="仿宋_GB2312" w:cs="仿宋_GB2312" w:eastAsia="仿宋_GB2312"/>
                <w:sz w:val="18"/>
              </w:rPr>
              <w:t>要接受监督检查，对采购人提出的有关意见及时进行整改。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投标人</w:t>
            </w:r>
            <w:r>
              <w:rPr>
                <w:rFonts w:ascii="仿宋_GB2312" w:hAnsi="仿宋_GB2312" w:cs="仿宋_GB2312" w:eastAsia="仿宋_GB2312"/>
                <w:sz w:val="18"/>
              </w:rPr>
              <w:t>对特殊事件及交通、食品、消防、安全等突发状况，要制定相应的保障措施和应急预案。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培训班的人员配置需根据培训规模、内容、对象及形式灵活调整。 1.核心管理团队 项目负责人（1名）：统筹全局，制定计划、协调资源，监督进度；需具备项目管理经验和行业知识。 班主任/教务管理员（2名及以上）：负责学员签到、课程安排、资料分发、日常沟通等；需细心、耐心，熟悉后勤流程。 2.教学团队（若干名） 授课老师（根据课程需求）：高校的专家教授或行业内的业务骨干，负责课程设计与授课；拥有扎实的专业知识基础，精通所教授的专业领域，具有丰富的实际工作经验，能够将理论与实践相结合。 3.技术支持团队（线下培训必备） IT支持（1-2名）：维护音响设备、多媒体演示设备、网络保障等，解决突发的技术故障；需熟悉常用培训软件（如腾讯会议等）。 4.后勤保障团队 会务组（1-3名）：场地布置、物资采购、餐饮协调、交通安排等。</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设备设施配置需根据培训目标、内容、形式及学员规模进行科学规划，确保培训的专业性、互动性和实效性。具体根据采购文件及合同约定执行。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无正当理由不得拒绝培训服务；不得超过中标单价收取费用或采取减少服务项目等降低服务质量；不得提供虚假发票；不得不按规定提供发票、费用原始明细单据、电子结算单等凭证；不得不配合，甚至干扰阻挠采购人正常核查工作。 2.投标人提供的场地以及服务质量均符合培训要求，能够圆满完成各项培训工作任务；各项培训活动的组织管理规范，保障到位。 3.投标人要做好人员保密教育工作，确保参训学员要严格执行保密规定，严禁泄露任何涉及保密的信息和资料；要做好培训活动的安全工作，确保人身、交通、财产、食品、消防等安全。 4.投标人应保证采购人获得优先服务的权利，积极主动与采购人配合，按招标文件承诺的标准和质量为采购人提供服务；并在不超过承诺的期限内完成培训工作。 5.投标人应设有固定联系电话及联系人，及时响应采购人的各项要求，并按采购人要求免费提供上门服务。 6.投标人在接待住宿客人时，必须做到实名登记；在提供培训服务时，须如实向采购人提供有关信息，具体包括：会场名称、培训人数、培训时间、配套服务等；在提供餐饮服务时，须按相应价格合理配置菜单，并将用餐安排、菜单提前与采购人沟通、接受采购人协商调整。 7.投标人要接受监督检查，对采购人提出的有关意见及时进行整改。 8.投标人对特殊事件及交通、食品、消防、安全等突发状况，要制定相应的保障措施和应急预案。</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以西安市内的培训为主。</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依据招标文件、投标文件、中标通知书、合同文件及国家相关规范及标准进行验收。乙方完成所有服务工作后，及时向甲方提交成果并通过甲方审批。 乙方完成所有培训内容后15日内由甲方组织评估验收。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个培训项目结束后7个工作日内，乙方须向甲方提供符合甲方要求的结算资料，经甲方核定后，由乙方开具发票及核定后的结算资料报甲方。甲方收到乙方上述凭证后，在7个工作日内向乙方支付第一个培训项目的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之后的每个培训项目结束后7个工作日内，乙方须向甲方提供符合甲方要求的结算资料，经甲方核定后，由乙方开具发票及核定后的结算资料报甲方。甲方收到乙方上述凭证后，在7个工作日内向乙方支付该期培训项目的费用。待剩余所有培训项目完成后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2.双方应严格履行本合同，任何一方违反本合同均应承担违约责任。 3.由于工作成果质量低劣未达到合同中约定的验收标准、由于乙方责任导致服务期延误或乙方有其他违反本合同条款行为的，甲方随时享有单方解除本合同的权利，并享有就由于上述原因造成甲方的全部损失（包括但不限于甲方在此之前支付的所有费用）向乙方要求赔偿的权利。 4.在本合同履行过程中，由于乙方原因导致服务无法进行的，由乙方承担由此为甲方造成的全部损失。 5.除非经甲方书面认可，乙方未能按期完成本合同项目的，则每逾期一天向甲方支付合同总款项1%的违约金。 6.乙方擅自将合同项目的全部或部分转让委托给第三方，甲方有权解除合同，乙方应立即返还所有甲方支付的费用，并支付违约金，违约金为合同总款项的10%。</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落实政府采购促进中小企业发展的相关政策： 本项目为非专门面向中小企业的项目。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资格证明文件 投标函 业绩 商务应答表 服务内容及服务要求应答表 分项报价表（此表必须填写）.docx 开标一览表（此表必须填写）.docx 拟投入本项目师资团队情况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资格证明文件 其他材料 业绩 商务应答表 服务内容及服务要求应答表 分项报价表（此表必须填写）.docx 开标一览表（此表必须填写）.docx 拟投入本项目师资团队情况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资格证明文件 投标函 业绩 服务方案 服务内容及服务要求应答表 分项报价表（此表必须填写）.docx 开标一览表（此表必须填写）.docx 投标人应提交的相关资格证明材料 拟投入本项目师资团队情况</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投标人应具有独立承担民事责任的能力的企业法人、事业法人、其他组织或自然人，出具合法有效的营业执照等相关证明文件，自然人参与的提供其身份证明；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法定代表人授权书及被授权人身份证复印件</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投标人授权代表提供本单位社保证明材料（至少提供投标文件递交截止之日前连续三个月的在本单位缴纳社保证明材料，不含开标当月）；</w:t>
            </w:r>
          </w:p>
        </w:tc>
        <w:tc>
          <w:tcPr>
            <w:tcW w:type="dxa" w:w="1661"/>
          </w:tcPr>
          <w:p>
            <w:pPr>
              <w:pStyle w:val="null3"/>
            </w:pPr>
            <w:r>
              <w:rPr>
                <w:rFonts w:ascii="仿宋_GB2312" w:hAnsi="仿宋_GB2312" w:cs="仿宋_GB2312" w:eastAsia="仿宋_GB2312"/>
              </w:rPr>
              <w:t>资格证明文件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时间前一年内至少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资格证明文件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至少一个月的纳税证明或完税证明，纳税证明或完税证明上应有代收机构或税务机关的公章或业务专用章；其他组织和自然人提供投标文件截止时间前一年内至少一个月缴纳税收的凭据；依法免税的投标人应提供相关文件证明；</w:t>
            </w:r>
          </w:p>
        </w:tc>
        <w:tc>
          <w:tcPr>
            <w:tcW w:type="dxa" w:w="1661"/>
          </w:tcPr>
          <w:p>
            <w:pPr>
              <w:pStyle w:val="null3"/>
            </w:pPr>
            <w:r>
              <w:rPr>
                <w:rFonts w:ascii="仿宋_GB2312" w:hAnsi="仿宋_GB2312" w:cs="仿宋_GB2312" w:eastAsia="仿宋_GB2312"/>
              </w:rPr>
              <w:t>资格证明文件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年度已赋码的经审计的完整的财务审计报告（包括“四表一注”，即资产负债表、利润表、现金流量表、所有者权益变动表及其附注，成立时间至提交投标文件截止时间不足一年的可提供成立后任意时段的资产负债表）,或其开标日期前六个月内其基本开户银行出具的资信证明（附基本存款账户信息或银行开户许可证复印件）。其他组织和自然人提供银行出具的资信证明或财务报表；</w:t>
            </w:r>
          </w:p>
        </w:tc>
        <w:tc>
          <w:tcPr>
            <w:tcW w:type="dxa" w:w="1661"/>
          </w:tcPr>
          <w:p>
            <w:pPr>
              <w:pStyle w:val="null3"/>
            </w:pPr>
            <w:r>
              <w:rPr>
                <w:rFonts w:ascii="仿宋_GB2312" w:hAnsi="仿宋_GB2312" w:cs="仿宋_GB2312" w:eastAsia="仿宋_GB2312"/>
              </w:rPr>
              <w:t>资格证明文件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采购代理机构通过“信用中国”网站(www.creditchina.gov.cn)、中国政府采购网(www.ccgp.gov.cn) 等查询相关主体信用记录；查询时间节点为公告发布之日起至本项目进行资格审核时。对列入失信被执行人、重大税收违法案件当事人名单、政府采购严重违法失信行为记录名单及其他不符合《中华人民共和国政府采购法》第二十二条规定条件的投标人，采购代理机构将拒绝其参与政府采购活动；</w:t>
            </w:r>
          </w:p>
        </w:tc>
        <w:tc>
          <w:tcPr>
            <w:tcW w:type="dxa" w:w="1661"/>
          </w:tcPr>
          <w:p>
            <w:pPr>
              <w:pStyle w:val="null3"/>
            </w:pPr>
            <w:r>
              <w:rPr>
                <w:rFonts w:ascii="仿宋_GB2312" w:hAnsi="仿宋_GB2312" w:cs="仿宋_GB2312" w:eastAsia="仿宋_GB2312"/>
              </w:rPr>
              <w:t>资格证明文件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由投标人自行出具具备履行合同所必需的设备和专业技术能力的承诺书；</w:t>
            </w:r>
          </w:p>
        </w:tc>
        <w:tc>
          <w:tcPr>
            <w:tcW w:type="dxa" w:w="1661"/>
          </w:tcPr>
          <w:p>
            <w:pPr>
              <w:pStyle w:val="null3"/>
            </w:pPr>
            <w:r>
              <w:rPr>
                <w:rFonts w:ascii="仿宋_GB2312" w:hAnsi="仿宋_GB2312" w:cs="仿宋_GB2312" w:eastAsia="仿宋_GB2312"/>
              </w:rPr>
              <w:t>资格证明文件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是否联合体投标</w:t>
            </w:r>
          </w:p>
        </w:tc>
        <w:tc>
          <w:tcPr>
            <w:tcW w:type="dxa" w:w="3322"/>
          </w:tcPr>
          <w:p>
            <w:pPr>
              <w:pStyle w:val="null3"/>
            </w:pPr>
            <w:r>
              <w:rPr>
                <w:rFonts w:ascii="仿宋_GB2312" w:hAnsi="仿宋_GB2312" w:cs="仿宋_GB2312" w:eastAsia="仿宋_GB2312"/>
              </w:rPr>
              <w:t>本项目不接受联合体投标，投标人自行出具非联合体投标声明。</w:t>
            </w:r>
          </w:p>
        </w:tc>
        <w:tc>
          <w:tcPr>
            <w:tcW w:type="dxa" w:w="1661"/>
          </w:tcPr>
          <w:p>
            <w:pPr>
              <w:pStyle w:val="null3"/>
            </w:pPr>
            <w:r>
              <w:rPr>
                <w:rFonts w:ascii="仿宋_GB2312" w:hAnsi="仿宋_GB2312" w:cs="仿宋_GB2312" w:eastAsia="仿宋_GB2312"/>
              </w:rPr>
              <w:t>资格证明文件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分项报价表（此表必须填写）.docx 标的清单 开标一览表（此表必须填写）.docx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资格证明文件 中小企业声明函 残疾人福利性单位声明函 商务应答表 标的清单 服务内容及服务要求应答表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投标人的投标报价未超出采购预算或最高限价，投标单价未超出相应的单价最高上限价。 一、投标人的报价是投标人响应招标项目要求的全部工作内容的价格体现，包括投标人完成本项目所需的一切费用。 二、本项目报价内容为两类，一是综合定额单价（含税），指参训学员所发生的每人每天的费用，包含住宿费、伙食费、培训场地费、培训资料费、交通费、其他费用等。二是师资费单价（不含税），指授课教师所产生的每人每课时的讲课费用；授课老师讲课费个税按照《中华人民共和国个人所得税法》《中华人民共和国个人所得税法实施条例》由采购人向投标人另行据实结算和支付，授课老师城市间交通费、食宿按照陕西省财政厅中共陕西省委组织部陕西省公务员局《关于印发&lt;陕西省省级机关培训费管理办法&gt;的通知》（陕财办〔2017〕16号）规定由采购人向投标人另行据实结算和支付。 三、本项目报价分评审分为两部分：（1）第一部分为综合定额单价（含税）评审，各投标人应按照陕西省财政厅中共陕西省委组织部陕西省公务员局《关于印发&lt;陕西省省级机关培训费管理办法&gt;的通知》（陕财办〔2017〕16号）规定和自身能力进行报价，其单价最高上限价为人民币400元/天/人（含税）； （2）第二部分为各级师资费单价（不含税）的合价。各投标人应按照陕西省财政厅中共陕西省委组织部陕西省公务员局《关于印发&lt;陕西省省级机关培训费管理办法&gt;的通知》（陕财办〔2017〕16号）规定和自身能力进行报价，同时须将各级师资费单价在招标文件附表“分项报价表”中进行详细报价，单价类别须按表内所列为准，不得漏填或0报价），其中副高级技术职称专业人员每学时最高上限价不超过500元（不含税），正高级技术职称专业人员每学时最高上限价不超过1000元（不含税），院士、全国知名专家每学时最高上限价不超过1500元（不含税）。 四、投标人每种服务内容只允许有一个单价报价，包括培训费（除师资费外）单价和各项师资费单价，各项填报的单价在合同执行过程中是固定不变的，结算时按实际完成量据实结算，其中培训费（除师资费外）单价是含税价，各级师资费单价是不含税价，授课老师讲课费个税、城市间交通费、食宿由采购人向投标人另行据实结算和支付（所有结算总费用不得高于项目总预算）。任何有选择或可调整的报价将不予接受，并按无效投标处理。以上所有产生的费用均包含在本项目总费用中。 五、投标文件报价出现前后不一致的，按照招标文件第五章评标办法规定予以修正，修正后的报价经投标人通过项目电子化交易系统进行确认，并加盖投标人（法定名称）电子印章，投标人未在规定时间内确认的，其投标无效。 六、超过单价最高上限价的投标报价为无效报价，其投标按无效标处理，不进入下一步评审环节。</w:t>
            </w:r>
          </w:p>
        </w:tc>
        <w:tc>
          <w:tcPr>
            <w:tcW w:type="dxa" w:w="1661"/>
          </w:tcPr>
          <w:p>
            <w:pPr>
              <w:pStyle w:val="null3"/>
            </w:pPr>
            <w:r>
              <w:rPr>
                <w:rFonts w:ascii="仿宋_GB2312" w:hAnsi="仿宋_GB2312" w:cs="仿宋_GB2312" w:eastAsia="仿宋_GB2312"/>
              </w:rPr>
              <w:t>开标一览表 投标函 标的清单 分项报价表（此表必须填写）.docx 开标一览表（此表必须填写）.docx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合同签订之日起至2026年12月31日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投标人的报价没有出现明显低于其他通过符合性审查投标人的报价，没有影响服务质量且能诚信履约，投标人能证明其报价合理性。</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投标内容未出现漏项或与要求不符，未造成采购档次降低或影响服务质量。</w:t>
            </w:r>
          </w:p>
        </w:tc>
        <w:tc>
          <w:tcPr>
            <w:tcW w:type="dxa" w:w="1661"/>
          </w:tcPr>
          <w:p>
            <w:pPr>
              <w:pStyle w:val="null3"/>
            </w:pPr>
            <w:r>
              <w:rPr>
                <w:rFonts w:ascii="仿宋_GB2312" w:hAnsi="仿宋_GB2312" w:cs="仿宋_GB2312" w:eastAsia="仿宋_GB2312"/>
              </w:rPr>
              <w:t>资格证明文件 其他材料 业绩 商务应答表 服务方案 服务内容及服务要求应答表 投标文件封面 投标人应提交的相关资格证明材料 拟投入本项目师资团队情况</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招标文件中特别标明或说明的内容为实质性要求，如不满足要求，则按无效标处理。</w:t>
            </w:r>
          </w:p>
        </w:tc>
        <w:tc>
          <w:tcPr>
            <w:tcW w:type="dxa" w:w="1661"/>
          </w:tcPr>
          <w:p>
            <w:pPr>
              <w:pStyle w:val="null3"/>
            </w:pPr>
            <w:r>
              <w:rPr>
                <w:rFonts w:ascii="仿宋_GB2312" w:hAnsi="仿宋_GB2312" w:cs="仿宋_GB2312" w:eastAsia="仿宋_GB2312"/>
              </w:rPr>
              <w:t>资格证明文件 其他材料 业绩 商务应答表 服务方案 服务内容及服务要求应答表 分项报价表（此表必须填写）.docx 投标文件封面 开标一览表（此表必须填写）.docx 投标人应提交的相关资格证明材料 拟投入本项目师资团队情况</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不存在其它不符合法律法规或招标文件规定的投标无效条款。</w:t>
            </w:r>
          </w:p>
        </w:tc>
        <w:tc>
          <w:tcPr>
            <w:tcW w:type="dxa" w:w="1661"/>
          </w:tcPr>
          <w:p>
            <w:pPr>
              <w:pStyle w:val="null3"/>
            </w:pPr>
            <w:r>
              <w:rPr>
                <w:rFonts w:ascii="仿宋_GB2312" w:hAnsi="仿宋_GB2312" w:cs="仿宋_GB2312" w:eastAsia="仿宋_GB2312"/>
              </w:rPr>
              <w:t>业绩 商务应答表 服务方案 服务内容及服务要求应答表 分项报价表（此表必须填写）.docx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投标报价</w:t>
            </w:r>
          </w:p>
        </w:tc>
        <w:tc>
          <w:tcPr>
            <w:tcW w:type="dxa" w:w="2492"/>
          </w:tcPr>
          <w:p>
            <w:pPr>
              <w:pStyle w:val="null3"/>
            </w:pPr>
            <w:r>
              <w:rPr>
                <w:rFonts w:ascii="仿宋_GB2312" w:hAnsi="仿宋_GB2312" w:cs="仿宋_GB2312" w:eastAsia="仿宋_GB2312"/>
              </w:rPr>
              <w:t>分为两部分进行报价评分： （1）第一部分为综合定额单价，价格分为7分。 各投标人应按照陕西省财政厅中共陕西省委组织部陕西省公务员局关于印发《陕西省省级机关培训费管理办法》的通知（陕财办〔2017〕16号）规定和自身能力进行报价，其单价最高上限价为人民币400元/天/人；满足招标文件要求且评审价格最低的投标报价（综合定额单价（含税））为该部分评标基准价，其价格分为满分7分。其他投标人的价格分统一按照下列公式计算：投标总报价得分=（评标基准价/投标总报价）× 价格分值。 （2）第二部分为各级师资费单价（不含税）的合价，价格分为3分。 各投标人应按照陕西省财政厅中共陕西省委组织部陕西省公务员局关于印发《陕西省省级机关培训费管理办法》的通知（陕财办〔2017〕16号）规定和自身能力进行报价，同时须将各师资费单价在招标文件附表“分项报价表”中进行详细报价，单价类别按表内所列为准，不得漏填或0报价），其中副高级技术职称专业人员每学时最高上限价不超过500元，正高级技术职称专业人员每学时最高上限价不超过1000元，院士、全国知名专家每学时最高上限价不超过1500元。满足招标文件要求且评审价格最低的投标报价（各师资费单价的合价）为该部分评标基准价，其价格分为满分3分。其他投标人的价格分统一按照下列公式计算：投标总报价得分=（评标基准价/投标总报价）× 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分项报价表（此表必须填写）.docx</w:t>
            </w:r>
          </w:p>
          <w:p>
            <w:pPr>
              <w:pStyle w:val="null3"/>
            </w:pPr>
            <w:r>
              <w:rPr>
                <w:rFonts w:ascii="仿宋_GB2312" w:hAnsi="仿宋_GB2312" w:cs="仿宋_GB2312" w:eastAsia="仿宋_GB2312"/>
              </w:rPr>
              <w:t>开标一览表（此表必须填写）.docx</w:t>
            </w:r>
          </w:p>
        </w:tc>
      </w:tr>
      <w:tr>
        <w:tc>
          <w:tcPr>
            <w:tcW w:type="dxa" w:w="831"/>
            <w:vMerge/>
          </w:tcPr>
          <w:p/>
        </w:tc>
        <w:tc>
          <w:tcPr>
            <w:tcW w:type="dxa" w:w="1661"/>
          </w:tcPr>
          <w:p>
            <w:pPr>
              <w:pStyle w:val="null3"/>
            </w:pPr>
            <w:r>
              <w:rPr>
                <w:rFonts w:ascii="仿宋_GB2312" w:hAnsi="仿宋_GB2312" w:cs="仿宋_GB2312" w:eastAsia="仿宋_GB2312"/>
              </w:rPr>
              <w:t>业绩情况</w:t>
            </w:r>
          </w:p>
        </w:tc>
        <w:tc>
          <w:tcPr>
            <w:tcW w:type="dxa" w:w="2492"/>
          </w:tcPr>
          <w:p>
            <w:pPr>
              <w:pStyle w:val="null3"/>
            </w:pPr>
            <w:r>
              <w:rPr>
                <w:rFonts w:ascii="仿宋_GB2312" w:hAnsi="仿宋_GB2312" w:cs="仿宋_GB2312" w:eastAsia="仿宋_GB2312"/>
              </w:rPr>
              <w:t>投标人2023年1月1日至今已完成的类似业绩证明材料，每提供1份有效业绩得2分，最多得10分。 备注：提供培训服务合同复印件，以合同签订日期为准（需包含封面页、合同服务内容页、金额页、签章页）并加盖投标人公章，未按要求提供相关证明材料不得分。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培训师资情况</w:t>
            </w:r>
          </w:p>
        </w:tc>
        <w:tc>
          <w:tcPr>
            <w:tcW w:type="dxa" w:w="2492"/>
          </w:tcPr>
          <w:p>
            <w:pPr>
              <w:pStyle w:val="null3"/>
            </w:pPr>
            <w:r>
              <w:rPr>
                <w:rFonts w:ascii="仿宋_GB2312" w:hAnsi="仿宋_GB2312" w:cs="仿宋_GB2312" w:eastAsia="仿宋_GB2312"/>
              </w:rPr>
              <w:t>聘用高水平培训师资的师资进行授课，同一人不累计。 评审标准：1.聘用教授（正高级）人数：每提供一个得1.5分，最高得9分； 2.聘用副教授（副高级）人数，每提供一个得1分，最高得6分； 注：①每个培训师必须附培训过的课程安排、薪资表等证明材料； ②提供培训师资名单信息（单位、职务、职称、联系方式等），聘书（协议书），职称证书复印件，并加盖投标人公章。 未提供或者提供不满足上述要求①②的不得分。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拟投入本项目师资团队情况</w:t>
            </w:r>
          </w:p>
        </w:tc>
      </w:tr>
      <w:tr>
        <w:tc>
          <w:tcPr>
            <w:tcW w:type="dxa" w:w="831"/>
            <w:vMerge/>
          </w:tcPr>
          <w:p/>
        </w:tc>
        <w:tc>
          <w:tcPr>
            <w:tcW w:type="dxa" w:w="1661"/>
          </w:tcPr>
          <w:p>
            <w:pPr>
              <w:pStyle w:val="null3"/>
            </w:pPr>
            <w:r>
              <w:rPr>
                <w:rFonts w:ascii="仿宋_GB2312" w:hAnsi="仿宋_GB2312" w:cs="仿宋_GB2312" w:eastAsia="仿宋_GB2312"/>
              </w:rPr>
              <w:t>拟投入本项目服务团队情况</w:t>
            </w:r>
          </w:p>
        </w:tc>
        <w:tc>
          <w:tcPr>
            <w:tcW w:type="dxa" w:w="2492"/>
          </w:tcPr>
          <w:p>
            <w:pPr>
              <w:pStyle w:val="null3"/>
            </w:pPr>
            <w:r>
              <w:rPr>
                <w:rFonts w:ascii="仿宋_GB2312" w:hAnsi="仿宋_GB2312" w:cs="仿宋_GB2312" w:eastAsia="仿宋_GB2312"/>
              </w:rPr>
              <w:t>（1）拟派项目负责人： 具有丰富的同类培训项目业绩或参与工作经验的，提供合同复印件。（2023年1月1日至今已完成的类似业绩证明材料，以合同签订日期为准。合同中须有负责人姓名，如合同中未有负责人姓名为无效合同。）每提供1项有效证明材料的得1分，最多得6分。 （2）拟投入本项目主要团队成员（除项目负责人外）：提供详细、可行、合理的岗位安排表，包括人员名单、工作经验、工作岗位等信息。①人员配置合理且数量在6人及以上的得6分；②人员配置合理且数量在4-5人的得4分；③人员配置合理且数量在2-3人的得2分；其他不得分。 备注：提供以上人员的身份证以及2025年10月至今任意3个月的投标人为其缴纳的社会保险证明材料复印件或劳动合同复印件，并加盖投标人公章，不提供不得分。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投标人拟投入本项目的项目负责人及服务人员简历表</w:t>
            </w:r>
          </w:p>
        </w:tc>
      </w:tr>
      <w:tr>
        <w:tc>
          <w:tcPr>
            <w:tcW w:type="dxa" w:w="831"/>
            <w:vMerge/>
          </w:tcPr>
          <w:p/>
        </w:tc>
        <w:tc>
          <w:tcPr>
            <w:tcW w:type="dxa" w:w="1661"/>
          </w:tcPr>
          <w:p>
            <w:pPr>
              <w:pStyle w:val="null3"/>
            </w:pPr>
            <w:r>
              <w:rPr>
                <w:rFonts w:ascii="仿宋_GB2312" w:hAnsi="仿宋_GB2312" w:cs="仿宋_GB2312" w:eastAsia="仿宋_GB2312"/>
              </w:rPr>
              <w:t>对项目的理解熟悉程度</w:t>
            </w:r>
          </w:p>
        </w:tc>
        <w:tc>
          <w:tcPr>
            <w:tcW w:type="dxa" w:w="2492"/>
          </w:tcPr>
          <w:p>
            <w:pPr>
              <w:pStyle w:val="null3"/>
            </w:pPr>
            <w:r>
              <w:rPr>
                <w:rFonts w:ascii="仿宋_GB2312" w:hAnsi="仿宋_GB2312" w:cs="仿宋_GB2312" w:eastAsia="仿宋_GB2312"/>
              </w:rPr>
              <w:t>根据投标人提供的针对本项目理解熟悉程度描述按其响应程度赋分： （1）对整个项目有完整详细理解，描述非常全面并且完整可行、有针对性，完全满足项目实施的得9分； （2）对整个项目有比较完整的理解，描述较为全面可行，较利于项目实施的得6分； （3）对整个项目的理解与描述基本可行，基本满足项目实施的得3分。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根据本项目实际需求及特点，制定方案，方案内容包含①培训方案②接待方案③应急预案④保密方案⑤后勤保障方案。 （1）实施方案非常全面并且完整可行、针对性强，完全满足项目实施的得15分； （2）实施方案详细、完整，可行、有针对性，满足项目实施的得12分； （3）实施方案比较完整、可行，能够较好保障项目实施的得9分； （4）实施方案基本可行，基本满足项目实施需要的得6分；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培训场地及培训设施</w:t>
            </w:r>
          </w:p>
        </w:tc>
        <w:tc>
          <w:tcPr>
            <w:tcW w:type="dxa" w:w="2492"/>
          </w:tcPr>
          <w:p>
            <w:pPr>
              <w:pStyle w:val="null3"/>
            </w:pPr>
            <w:r>
              <w:rPr>
                <w:rFonts w:ascii="仿宋_GB2312" w:hAnsi="仿宋_GB2312" w:cs="仿宋_GB2312" w:eastAsia="仿宋_GB2312"/>
              </w:rPr>
              <w:t>针对本项目提供的的培训场地及培训设施，包含但不限于培训场地、培训设备、多媒体设施、住宿环境、餐厅环境、网络设备等等，按其响应程度赋分： （1）硬件设施齐全，切实可行，完全满足采购人需求得15分； （2）硬件设施齐全，较为可行，能够满足采购人需求得12分； （3）硬件设施较为齐全，基本可行，基本满足采购人需求得9分； （4）硬件设施基本完备，但合理性、可行性还需改进得6分； 未提供不得分。 备注：场地及设施设备配备证明材料，包括但不限于提供场地的服务协议（有效期内的购买合同或租赁合同或可使用场地的其他辅证明材料）及实景照片、设施设备照片等。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后勤保障措施</w:t>
            </w:r>
          </w:p>
        </w:tc>
        <w:tc>
          <w:tcPr>
            <w:tcW w:type="dxa" w:w="2492"/>
          </w:tcPr>
          <w:p>
            <w:pPr>
              <w:pStyle w:val="null3"/>
            </w:pPr>
            <w:r>
              <w:rPr>
                <w:rFonts w:ascii="仿宋_GB2312" w:hAnsi="仿宋_GB2312" w:cs="仿宋_GB2312" w:eastAsia="仿宋_GB2312"/>
              </w:rPr>
              <w:t>针对本项目提供的后勤保障措施进行评审，按其响应程度赋分。 后勤保障指学员食宿、交通、安全、卫生、消防等服务保障。 （1）后勤保障措施计划齐备周全，切实可行，完全满足采购人需求得8分； （2）后勤保障措施计划较为齐全、基本可行，基本满足采购人需求得5分； （3）后勤保障措施计划基本完备，但合理性、可行性不足得2分；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项目服务保障措施</w:t>
            </w:r>
          </w:p>
        </w:tc>
        <w:tc>
          <w:tcPr>
            <w:tcW w:type="dxa" w:w="2492"/>
          </w:tcPr>
          <w:p>
            <w:pPr>
              <w:pStyle w:val="null3"/>
            </w:pPr>
            <w:r>
              <w:rPr>
                <w:rFonts w:ascii="仿宋_GB2312" w:hAnsi="仿宋_GB2312" w:cs="仿宋_GB2312" w:eastAsia="仿宋_GB2312"/>
              </w:rPr>
              <w:t>根据投标人提供的项目服务保障措施情况进行赋分，内容包括但不限于：（一）服务质量保障措施、（二）服务进度保障措施、（三）针对本项目的管理制度（包含但不限于教学管理制度、日常管理制度、人员岗位职责、财务制度和奖惩办法等规章制度）。 （1）项目服务保障措施全面，有详细描述，完全切合本项目实际情况得6分； （2）项目服务保障措施较为全面，有具体描述，切合本项目实际情况得4分； （3）项目服务保障措施基本达到项目实施需要的得2分；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详见附件：拟投入本项目师资团队情况</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详见附件：投标人拟投入本项目的项目负责人及服务人员简历表</w:t>
      </w:r>
    </w:p>
    <w:p>
      <w:pPr>
        <w:pStyle w:val="null3"/>
        <w:ind w:firstLine="960"/>
      </w:pPr>
      <w:r>
        <w:rPr>
          <w:rFonts w:ascii="仿宋_GB2312" w:hAnsi="仿宋_GB2312" w:cs="仿宋_GB2312" w:eastAsia="仿宋_GB2312"/>
        </w:rPr>
        <w:t>详见附件：分项报价表（此表必须填写）.docx</w:t>
      </w:r>
    </w:p>
    <w:p>
      <w:pPr>
        <w:pStyle w:val="null3"/>
        <w:ind w:firstLine="960"/>
      </w:pPr>
      <w:r>
        <w:rPr>
          <w:rFonts w:ascii="仿宋_GB2312" w:hAnsi="仿宋_GB2312" w:cs="仿宋_GB2312" w:eastAsia="仿宋_GB2312"/>
        </w:rPr>
        <w:t>详见附件：开标一览表（此表必须填写）.docx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