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版本号：JXRC-26031120260401001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网络空间安全人才培养实验与实训平台采购项目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JXRC-260311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网络空间安全人才培养实验与实训平台采购项目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JXRC-260311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网络空间安全人才培养实验与实训平台采购项目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理工大学网络空间安全人才培养实验与实训平台采购项目，主要包括1套入侵与攻击模拟平台、1套漏洞扫描与管理平台、1套网络靶场平台。实施内容包括：硬件设备采购、软件系统及配套课程资源、安装调试与培训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4、纳税证明：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p>
      <w:pPr>
        <w:pStyle w:val="null3"/>
      </w:pPr>
      <w:r>
        <w:rPr>
          <w:rFonts w:ascii="仿宋_GB2312" w:hAnsi="仿宋_GB2312" w:cs="仿宋_GB2312" w:eastAsia="仿宋_GB2312"/>
        </w:rPr>
        <w:t>5、社保缴纳证明：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开户银行：民生银行西安分行营业部（转账时须附言：260311投标保证金）</w:t>
            </w:r>
          </w:p>
          <w:p>
            <w:pPr>
              <w:pStyle w:val="null3"/>
            </w:pPr>
            <w:r>
              <w:rPr>
                <w:rFonts w:ascii="仿宋_GB2312" w:hAnsi="仿宋_GB2312" w:cs="仿宋_GB2312" w:eastAsia="仿宋_GB2312"/>
              </w:rPr>
              <w:t>银行账号：632043869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招标文件、投标文件及技术澄清文件（函）；国家/行业标准、规范（如GB、ISO、IEC等）。 （2）验收流程 ①到货初检（采购人、中标人共同参与）：检查外包装完整性、防伪标识、运输损伤情况；核对货物型号、数量、规格是否与合同一致；检查随机文件（合格证、说明书、保修卡等）。 ②安装调试验收 设备安装符合；调试记录完整。 ③性能测试验收（关键指标实测） 连续运行72小时无故障。 ④最终验收 集成联调结束后，进行最终验收，签署《验收报告》，产品保修期自验收合格之日起算，由中标人提供产品保修文件。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西安理工大学网络空间安全人才培养实验与实训平台。通过项目的建设，整合丰富的威胁场景库与多元实训功能模块</w:t>
      </w:r>
      <w:r>
        <w:rPr>
          <w:rFonts w:ascii="仿宋_GB2312" w:hAnsi="仿宋_GB2312" w:cs="仿宋_GB2312" w:eastAsia="仿宋_GB2312"/>
          <w:sz w:val="24"/>
        </w:rPr>
        <w:t>,</w:t>
      </w:r>
      <w:r>
        <w:rPr>
          <w:rFonts w:ascii="仿宋_GB2312" w:hAnsi="仿宋_GB2312" w:cs="仿宋_GB2312" w:eastAsia="仿宋_GB2312"/>
          <w:sz w:val="24"/>
        </w:rPr>
        <w:t>既能够覆盖常见网络入侵手段</w:t>
      </w:r>
      <w:r>
        <w:rPr>
          <w:rFonts w:ascii="仿宋_GB2312" w:hAnsi="仿宋_GB2312" w:cs="仿宋_GB2312" w:eastAsia="仿宋_GB2312"/>
          <w:sz w:val="24"/>
        </w:rPr>
        <w:t xml:space="preserve">, </w:t>
      </w:r>
      <w:r>
        <w:rPr>
          <w:rFonts w:ascii="仿宋_GB2312" w:hAnsi="仿宋_GB2312" w:cs="仿宋_GB2312" w:eastAsia="仿宋_GB2312"/>
          <w:sz w:val="24"/>
        </w:rPr>
        <w:t>精准适配工控系统等关键场景的威胁特征</w:t>
      </w:r>
      <w:r>
        <w:rPr>
          <w:rFonts w:ascii="仿宋_GB2312" w:hAnsi="仿宋_GB2312" w:cs="仿宋_GB2312" w:eastAsia="仿宋_GB2312"/>
          <w:sz w:val="24"/>
        </w:rPr>
        <w:t xml:space="preserve">, </w:t>
      </w:r>
      <w:r>
        <w:rPr>
          <w:rFonts w:ascii="仿宋_GB2312" w:hAnsi="仿宋_GB2312" w:cs="仿宋_GB2312" w:eastAsia="仿宋_GB2312"/>
          <w:sz w:val="24"/>
        </w:rPr>
        <w:t>结合漏洞扫描能力输出直观且具实用价值的威胁洞察</w:t>
      </w:r>
      <w:r>
        <w:rPr>
          <w:rFonts w:ascii="仿宋_GB2312" w:hAnsi="仿宋_GB2312" w:cs="仿宋_GB2312" w:eastAsia="仿宋_GB2312"/>
          <w:sz w:val="24"/>
        </w:rPr>
        <w:t xml:space="preserve">, </w:t>
      </w:r>
      <w:r>
        <w:rPr>
          <w:rFonts w:ascii="仿宋_GB2312" w:hAnsi="仿宋_GB2312" w:cs="仿宋_GB2312" w:eastAsia="仿宋_GB2312"/>
          <w:sz w:val="24"/>
        </w:rPr>
        <w:t>建成一套综合性网络空间安全人才培养实验与实训平台。</w:t>
      </w:r>
    </w:p>
    <w:p>
      <w:pPr>
        <w:pStyle w:val="null3"/>
        <w:jc w:val="center"/>
      </w:pPr>
      <w:r>
        <w:rPr>
          <w:rFonts w:ascii="仿宋_GB2312" w:hAnsi="仿宋_GB2312" w:cs="仿宋_GB2312" w:eastAsia="仿宋_GB2312"/>
          <w:sz w:val="24"/>
          <w:b/>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399"/>
        <w:gridCol w:w="3119"/>
        <w:gridCol w:w="1839"/>
        <w:gridCol w:w="773"/>
        <w:gridCol w:w="799"/>
        <w:gridCol w:w="1386"/>
      </w:tblGrid>
      <w:tr>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1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c>
          <w:tcPr>
            <w:tcW w:type="dxa" w:w="1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单项限价</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套）</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入侵与攻击模拟平台</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r>
              <w:rPr>
                <w:rFonts w:ascii="仿宋_GB2312" w:hAnsi="仿宋_GB2312" w:cs="仿宋_GB2312" w:eastAsia="仿宋_GB2312"/>
                <w:sz w:val="24"/>
              </w:rPr>
              <w:t>万</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漏洞扫描与管理平台</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r>
              <w:rPr>
                <w:rFonts w:ascii="仿宋_GB2312" w:hAnsi="仿宋_GB2312" w:cs="仿宋_GB2312" w:eastAsia="仿宋_GB2312"/>
                <w:sz w:val="24"/>
              </w:rPr>
              <w:t>万</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网络靶场平台</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是</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r>
              <w:rPr>
                <w:rFonts w:ascii="仿宋_GB2312" w:hAnsi="仿宋_GB2312" w:cs="仿宋_GB2312" w:eastAsia="仿宋_GB2312"/>
                <w:sz w:val="24"/>
              </w:rPr>
              <w:t>万</w:t>
            </w:r>
          </w:p>
        </w:tc>
      </w:tr>
    </w:tbl>
    <w:p>
      <w:pPr>
        <w:pStyle w:val="null3"/>
      </w:pPr>
      <w:r>
        <w:rPr>
          <w:rFonts w:ascii="仿宋_GB2312" w:hAnsi="仿宋_GB2312" w:cs="仿宋_GB2312" w:eastAsia="仿宋_GB2312"/>
          <w:sz w:val="24"/>
          <w:color w:val="000000"/>
        </w:rPr>
        <w:t>注：各项货物报价不得超过其单项限价。</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网络空间安全人才培养实验与实训平台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标的名称：网络空间安全人才培养实验与实训平台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00"/>
              <w:gridCol w:w="2053"/>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2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入侵与攻击模拟系统</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1、标准机架式设备，内存≥32G，硬盘≥2T，电口≥6*1000M，RJ45管理口，USB接口不少于2个，扩展槽不少于2个；</w:t>
                  </w:r>
                </w:p>
                <w:p>
                  <w:pPr>
                    <w:pStyle w:val="null3"/>
                    <w:ind w:firstLine="480"/>
                    <w:jc w:val="both"/>
                  </w:pPr>
                  <w:r>
                    <w:rPr>
                      <w:rFonts w:ascii="仿宋_GB2312" w:hAnsi="仿宋_GB2312" w:cs="仿宋_GB2312" w:eastAsia="仿宋_GB2312"/>
                      <w:sz w:val="24"/>
                    </w:rPr>
                    <w:t>2、支持系统内置≥10000个威胁库，可展示预定义和自定义的威胁，支持根据攻击类型、安全产品标签、操作系统和ATT&amp;CK进行分类，支持查看详情、运行单个威胁攻击任务等功能；</w:t>
                  </w:r>
                </w:p>
                <w:p>
                  <w:pPr>
                    <w:pStyle w:val="null3"/>
                    <w:ind w:firstLine="480"/>
                    <w:jc w:val="both"/>
                  </w:pPr>
                  <w:r>
                    <w:rPr>
                      <w:rFonts w:ascii="仿宋_GB2312" w:hAnsi="仿宋_GB2312" w:cs="仿宋_GB2312" w:eastAsia="仿宋_GB2312"/>
                      <w:sz w:val="24"/>
                    </w:rPr>
                    <w:t>3、支持全景化安全态势可视化，可统计分析攻击任务中涉及的不同ATT&amp;CK战术阶段分布，支持按自定义时间段，统计分析攻击任务中利用的ATT&amp;CK具体技术；</w:t>
                  </w:r>
                  <w:r>
                    <w:rPr>
                      <w:rFonts w:ascii="仿宋_GB2312" w:hAnsi="仿宋_GB2312" w:cs="仿宋_GB2312" w:eastAsia="仿宋_GB2312"/>
                      <w:sz w:val="24"/>
                    </w:rPr>
                    <w:t>支持按自定义时间段，对防火墙、</w:t>
                  </w:r>
                  <w:r>
                    <w:rPr>
                      <w:rFonts w:ascii="仿宋_GB2312" w:hAnsi="仿宋_GB2312" w:cs="仿宋_GB2312" w:eastAsia="仿宋_GB2312"/>
                      <w:sz w:val="24"/>
                    </w:rPr>
                    <w:t>IDS/IPS、WAF、EDR等核心安全产品的防护能力进行量化评估以及攻击模拟任务全景监控、整体安全态势量化评分；</w:t>
                  </w:r>
                </w:p>
                <w:p>
                  <w:pPr>
                    <w:pStyle w:val="null3"/>
                    <w:ind w:firstLine="480"/>
                    <w:jc w:val="both"/>
                  </w:pPr>
                  <w:r>
                    <w:rPr>
                      <w:rFonts w:ascii="仿宋_GB2312" w:hAnsi="仿宋_GB2312" w:cs="仿宋_GB2312" w:eastAsia="仿宋_GB2312"/>
                      <w:sz w:val="24"/>
                    </w:rPr>
                    <w:t>4、支持提供完整、可交互的ATT&amp;CK框架知识库，可对全量战术、技术及其映射关系做可视化展示；需满足结合平台内所有威胁的演练历史，自动统计并展示每项ATT&amp;CK技术在实际攻击模拟中被使用的总次数，实现威胁情报与攻击行为的量化关联分析；</w:t>
                  </w:r>
                </w:p>
                <w:p>
                  <w:pPr>
                    <w:pStyle w:val="null3"/>
                    <w:ind w:firstLine="240"/>
                    <w:jc w:val="both"/>
                  </w:pPr>
                  <w:r>
                    <w:rPr>
                      <w:rFonts w:ascii="仿宋_GB2312" w:hAnsi="仿宋_GB2312" w:cs="仿宋_GB2312" w:eastAsia="仿宋_GB2312"/>
                      <w:sz w:val="24"/>
                    </w:rPr>
                    <w:t>5、提供涵盖预定义及自定义威胁的集中式知识库，可支持按攻击类型、安全产品标签、操作系统及ATT&amp;CK框架等多维度筛选与检索；可支持对单一威胁进行详情审视、独立攻击任务模拟执行及专项验证结果钻取分析；</w:t>
                  </w:r>
                </w:p>
                <w:p>
                  <w:pPr>
                    <w:pStyle w:val="null3"/>
                    <w:ind w:firstLine="240"/>
                    <w:jc w:val="both"/>
                  </w:pPr>
                  <w:r>
                    <w:rPr>
                      <w:rFonts w:ascii="仿宋_GB2312" w:hAnsi="仿宋_GB2312" w:cs="仿宋_GB2312" w:eastAsia="仿宋_GB2312"/>
                      <w:sz w:val="24"/>
                    </w:rPr>
                    <w:t>▲6、支持系统内置威胁场景库，提供基于真实攻击链的预置综合场景库数量不少于200个。可支持对由多步骤威胁构成的复杂攻击场景进行详情查看、一键式场景攻击任务运行，并支持钻取至场景级验证能力，评估整体防护有效性；</w:t>
                  </w:r>
                </w:p>
                <w:p>
                  <w:pPr>
                    <w:pStyle w:val="null3"/>
                    <w:ind w:firstLine="240"/>
                    <w:jc w:val="both"/>
                  </w:pPr>
                  <w:r>
                    <w:rPr>
                      <w:rFonts w:ascii="仿宋_GB2312" w:hAnsi="仿宋_GB2312" w:cs="仿宋_GB2312" w:eastAsia="仿宋_GB2312"/>
                      <w:sz w:val="24"/>
                    </w:rPr>
                    <w:t>7、支持单点威胁验证与复合场景验证功能，需具备对所有单个威胁攻击模拟任务的全量执行状态监控视图，支持对选定任务进行一键重新验证，提供所有综合及自定义攻击场景模拟任务的集中化执行监控与结果总览，支持对复杂多步骤攻击场景进行整体重新验证；</w:t>
                  </w:r>
                </w:p>
                <w:p>
                  <w:pPr>
                    <w:pStyle w:val="null3"/>
                    <w:ind w:firstLine="240"/>
                    <w:jc w:val="both"/>
                  </w:pPr>
                  <w:r>
                    <w:rPr>
                      <w:rFonts w:ascii="仿宋_GB2312" w:hAnsi="仿宋_GB2312" w:cs="仿宋_GB2312" w:eastAsia="仿宋_GB2312"/>
                      <w:sz w:val="24"/>
                    </w:rPr>
                    <w:t>8、支持≥6种验证设置，包括不限于机器人设置、邮件设置、沙箱设置、扫描设置、DNS设置、WAF设置等功能；</w:t>
                  </w:r>
                </w:p>
                <w:p>
                  <w:pPr>
                    <w:pStyle w:val="null3"/>
                    <w:ind w:firstLine="480"/>
                    <w:jc w:val="both"/>
                  </w:pPr>
                  <w:r>
                    <w:rPr>
                      <w:rFonts w:ascii="仿宋_GB2312" w:hAnsi="仿宋_GB2312" w:cs="仿宋_GB2312" w:eastAsia="仿宋_GB2312"/>
                      <w:sz w:val="24"/>
                    </w:rPr>
                    <w:t>9、支持系统提供≥6种安全产品标记威胁的功能，至少包含：WAF、网关防护、下一代防火墙、IDS/IPS、终端防护、邮件网关、数据防泄漏；</w:t>
                  </w:r>
                </w:p>
                <w:p>
                  <w:pPr>
                    <w:pStyle w:val="null3"/>
                    <w:ind w:firstLine="480"/>
                    <w:jc w:val="both"/>
                  </w:pPr>
                  <w:r>
                    <w:rPr>
                      <w:rFonts w:ascii="仿宋_GB2312" w:hAnsi="仿宋_GB2312" w:cs="仿宋_GB2312" w:eastAsia="仿宋_GB2312"/>
                      <w:sz w:val="24"/>
                    </w:rPr>
                    <w:t>10、需支持可定制的报告模板管理功能，可根据不同的审计、汇报或合规需求，自定义报告模板的版式。需提供所有攻击任务的报告集中管理与历史归档视图，支持按任务类型、时间、状态等多维度筛选，并生成验证报告；</w:t>
                  </w:r>
                </w:p>
                <w:p>
                  <w:pPr>
                    <w:pStyle w:val="null3"/>
                    <w:ind w:firstLine="480"/>
                    <w:jc w:val="both"/>
                  </w:pPr>
                  <w:r>
                    <w:rPr>
                      <w:rFonts w:ascii="仿宋_GB2312" w:hAnsi="仿宋_GB2312" w:cs="仿宋_GB2312" w:eastAsia="仿宋_GB2312"/>
                      <w:sz w:val="24"/>
                    </w:rPr>
                    <w:t>11、需提供系统健康度仪表盘，可实时监控操作系统核心指标（CPU、内存、系统负载）与关键组件状态，包括磁盘I/O、网络吞吐等性能指标，以及数据库等关键服务的运行状态，实现基础设施全景可视化管理；</w:t>
                  </w:r>
                </w:p>
                <w:p>
                  <w:pPr>
                    <w:pStyle w:val="null3"/>
                    <w:ind w:firstLine="480"/>
                    <w:jc w:val="both"/>
                  </w:pPr>
                  <w:r>
                    <w:rPr>
                      <w:rFonts w:ascii="仿宋_GB2312" w:hAnsi="仿宋_GB2312" w:cs="仿宋_GB2312" w:eastAsia="仿宋_GB2312"/>
                      <w:sz w:val="24"/>
                    </w:rPr>
                    <w:t>12、支持IPv4、IPv6，支持制定NTP服务；支持威胁及综合场景预定义素材进行升级。</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漏洞扫描与管理平台：</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13、机架式设备，1U设备，≥6个千兆电口、1个RJ45 Console口，2个USB接口，≥1个接口扩展插槽，内存≥8G，硬盘≥1T；</w:t>
                  </w:r>
                </w:p>
                <w:p>
                  <w:pPr>
                    <w:pStyle w:val="null3"/>
                    <w:ind w:firstLine="480"/>
                    <w:jc w:val="both"/>
                  </w:pPr>
                  <w:r>
                    <w:rPr>
                      <w:rFonts w:ascii="仿宋_GB2312" w:hAnsi="仿宋_GB2312" w:cs="仿宋_GB2312" w:eastAsia="仿宋_GB2312"/>
                      <w:sz w:val="24"/>
                    </w:rPr>
                    <w:t>▲14、支持扫描的漏洞数量≥400000个，支持IPv4和IPv6环境的部署和扫描，可扫描的IP地址总数量无限制；</w:t>
                  </w:r>
                </w:p>
                <w:p>
                  <w:pPr>
                    <w:pStyle w:val="null3"/>
                    <w:ind w:firstLine="480"/>
                    <w:jc w:val="both"/>
                  </w:pPr>
                  <w:r>
                    <w:rPr>
                      <w:rFonts w:ascii="仿宋_GB2312" w:hAnsi="仿宋_GB2312" w:cs="仿宋_GB2312" w:eastAsia="仿宋_GB2312"/>
                      <w:sz w:val="24"/>
                    </w:rPr>
                    <w:t>15、支持多种协议口令猜测，至少包括SMB、Snmp、Telnet、Pop3、SSH、Ftp、RDP、DB2、MySQL、Oracle、PostgreSQL、SMTP等协议；</w:t>
                  </w:r>
                </w:p>
                <w:p>
                  <w:pPr>
                    <w:pStyle w:val="null3"/>
                    <w:ind w:firstLine="480"/>
                    <w:jc w:val="both"/>
                  </w:pPr>
                  <w:r>
                    <w:rPr>
                      <w:rFonts w:ascii="仿宋_GB2312" w:hAnsi="仿宋_GB2312" w:cs="仿宋_GB2312" w:eastAsia="仿宋_GB2312"/>
                      <w:sz w:val="24"/>
                    </w:rPr>
                    <w:t>16、支持丰富的扫描任务参数设置，至少包括扫描方式、执行方式、执行时间段、任务模板、策略模板、插件超时时间、模糊扫描等；</w:t>
                  </w:r>
                </w:p>
                <w:p>
                  <w:pPr>
                    <w:pStyle w:val="null3"/>
                    <w:ind w:firstLine="480"/>
                    <w:jc w:val="both"/>
                  </w:pPr>
                  <w:r>
                    <w:rPr>
                      <w:rFonts w:ascii="仿宋_GB2312" w:hAnsi="仿宋_GB2312" w:cs="仿宋_GB2312" w:eastAsia="仿宋_GB2312"/>
                      <w:sz w:val="24"/>
                    </w:rPr>
                    <w:t>17、支持对主流操作系统的识别与扫描，至少包括：Windows、Redhat、Ubuntu、centos、BC_linux、Debian、深度、麒麟、新支点、Fedora、SUSE、slackware、Oracle OS等操作系统；</w:t>
                  </w:r>
                </w:p>
                <w:p>
                  <w:pPr>
                    <w:pStyle w:val="null3"/>
                    <w:ind w:firstLine="240"/>
                    <w:jc w:val="both"/>
                  </w:pPr>
                  <w:r>
                    <w:rPr>
                      <w:rFonts w:ascii="仿宋_GB2312" w:hAnsi="仿宋_GB2312" w:cs="仿宋_GB2312" w:eastAsia="仿宋_GB2312"/>
                      <w:sz w:val="24"/>
                    </w:rPr>
                    <w:t>18、支持对各种Web应用系统的扫描，至少支持检测SQL注入漏洞、命令注入漏洞、CRLF注入漏洞、LDAP注入漏洞、XSS跨站脚本漏洞、路径遍历漏洞、信息泄漏漏洞、URL跳转漏洞、文件包含漏洞、应用程序漏洞、文件上传漏洞等；</w:t>
                  </w:r>
                </w:p>
                <w:p>
                  <w:pPr>
                    <w:pStyle w:val="null3"/>
                    <w:ind w:firstLine="240"/>
                    <w:jc w:val="both"/>
                  </w:pPr>
                  <w:r>
                    <w:rPr>
                      <w:rFonts w:ascii="仿宋_GB2312" w:hAnsi="仿宋_GB2312" w:cs="仿宋_GB2312" w:eastAsia="仿宋_GB2312"/>
                      <w:sz w:val="24"/>
                    </w:rPr>
                    <w:t>19、需提供主机漏洞库升级服务。（提供承诺函）</w:t>
                  </w:r>
                </w:p>
                <w:p>
                  <w:pPr>
                    <w:pStyle w:val="null3"/>
                    <w:ind w:firstLine="240"/>
                    <w:jc w:val="both"/>
                  </w:pPr>
                  <w:r>
                    <w:rPr>
                      <w:rFonts w:ascii="仿宋_GB2312" w:hAnsi="仿宋_GB2312" w:cs="仿宋_GB2312" w:eastAsia="仿宋_GB2312"/>
                      <w:sz w:val="24"/>
                    </w:rPr>
                    <w:t>20、提供互联网漏洞暴露面管理平台；需包含智能分布式抗封禁扫描；需能通过流量自动调度模型，将扫描请求分散至不同中继节点；需自动识别Cloudflare/Akamai等主流WAF指纹。</w:t>
                  </w:r>
                </w:p>
                <w:p>
                  <w:pPr>
                    <w:pStyle w:val="null3"/>
                    <w:ind w:firstLine="240"/>
                    <w:jc w:val="both"/>
                  </w:pPr>
                  <w:r>
                    <w:rPr>
                      <w:rFonts w:ascii="仿宋_GB2312" w:hAnsi="仿宋_GB2312" w:cs="仿宋_GB2312" w:eastAsia="仿宋_GB2312"/>
                      <w:sz w:val="24"/>
                    </w:rPr>
                    <w:t>21、基于机器学习的请求间隔动态调整随机延迟≤5s；需包含伪造浏览器TLS指纹的报文级伪装技术；包含指纹库热更新；能实时同步红队实战新增的≥100+/月威胁特征；需包含协议解析引擎升级，协议指纹数量≥10000条。</w:t>
                  </w:r>
                </w:p>
                <w:p>
                  <w:pPr>
                    <w:pStyle w:val="null3"/>
                    <w:ind w:firstLine="240"/>
                    <w:jc w:val="both"/>
                  </w:pPr>
                  <w:r>
                    <w:rPr>
                      <w:rFonts w:ascii="仿宋_GB2312" w:hAnsi="仿宋_GB2312" w:cs="仿宋_GB2312" w:eastAsia="仿宋_GB2312"/>
                      <w:sz w:val="24"/>
                    </w:rPr>
                    <w:t>22、扫描策略需包含主被动两种模式，被动模式需通过现有测绘平台进行信息爬取，不对业务进行大量探测扫描，主动模式需对全端口信息进行实时获取数据，并时效性高。</w:t>
                  </w:r>
                </w:p>
                <w:p>
                  <w:pPr>
                    <w:pStyle w:val="null3"/>
                    <w:ind w:firstLine="240"/>
                    <w:jc w:val="both"/>
                  </w:pPr>
                  <w:r>
                    <w:rPr>
                      <w:rFonts w:ascii="仿宋_GB2312" w:hAnsi="仿宋_GB2312" w:cs="仿宋_GB2312" w:eastAsia="仿宋_GB2312"/>
                      <w:sz w:val="24"/>
                    </w:rPr>
                    <w:t>23、需要提供漏洞教学演示工具箱及课程服务，需包含HDMI显示器窃视系统演示服务、包含插排窃听实验系统演示服务、包含EMP电磁攻击实验演示服务、包含摄像头弱口令爆破实验演示服务、包含激光传声窃密实验系统服务。</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网络靶场平台</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24、网络靶场平台设备专用硬件配置如下：CPU≥20核*2， 内存DDR4≥256GB ，硬盘≥8T SATA盘，支持 RAID 0/1/5/10 等多种阵列模式，1+1 冗余电源，网口≥4个千兆电口；</w:t>
                  </w:r>
                </w:p>
                <w:p>
                  <w:pPr>
                    <w:pStyle w:val="null3"/>
                    <w:ind w:firstLine="480"/>
                    <w:jc w:val="both"/>
                  </w:pPr>
                  <w:r>
                    <w:rPr>
                      <w:rFonts w:ascii="仿宋_GB2312" w:hAnsi="仿宋_GB2312" w:cs="仿宋_GB2312" w:eastAsia="仿宋_GB2312"/>
                      <w:sz w:val="24"/>
                    </w:rPr>
                    <w:t>25、支持集成和管理多个虚拟化平台及技术，包括：kvm、docker等，支持对常见的操作系统进行虚拟化仿真，至少包括：Linux、Windows、Unix等；支持实体设备接入功能，支持实体设备与虚拟靶标共同组建虚实结合的网络；</w:t>
                  </w:r>
                </w:p>
                <w:p>
                  <w:pPr>
                    <w:pStyle w:val="null3"/>
                    <w:ind w:firstLine="240"/>
                    <w:jc w:val="both"/>
                  </w:pPr>
                  <w:r>
                    <w:rPr>
                      <w:rFonts w:ascii="仿宋_GB2312" w:hAnsi="仿宋_GB2312" w:cs="仿宋_GB2312" w:eastAsia="仿宋_GB2312"/>
                      <w:sz w:val="24"/>
                    </w:rPr>
                    <w:t>26、支持以图形化方式，利用web 拖拽进行拓扑环境的配置，支持拖拽的设备包括虚拟网络节点、虚拟主机节点、虚拟路由节点、虚拟防火墙节点、实物路由节点、实物主机节点等；</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27、支持集群的快速配置，可拖拽虚拟节点到集群中生成模板并基于虚拟模板快速配置多个同样配置的虚拟节点，批量创建的虚拟节点支持自动配置设备名称、IP等信息，支持批量对虚拟节点的配置进行修改，修改的信息包括虚拟节点镜像、配额、IP等属性；(演示内容1)</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28、支持部署过程的监控和展示，支持对部署的各类节点总数、各类节点进度、部署错误的类型进行展示，对于部署失败的节点，系统给出失败原因；(演示内容2)</w:t>
                  </w:r>
                </w:p>
                <w:p>
                  <w:pPr>
                    <w:pStyle w:val="null3"/>
                    <w:ind w:firstLine="480"/>
                    <w:jc w:val="both"/>
                  </w:pPr>
                  <w:r>
                    <w:rPr>
                      <w:rFonts w:ascii="仿宋_GB2312" w:hAnsi="仿宋_GB2312" w:cs="仿宋_GB2312" w:eastAsia="仿宋_GB2312"/>
                      <w:sz w:val="24"/>
                    </w:rPr>
                    <w:t>29、支持试验流程的设计，能够将试验的整个过程拆解成一系列有序的步骤进行管理，能够将训练过程中依赖的前提条件通过流程中设计的步骤进行构建；</w:t>
                  </w:r>
                </w:p>
                <w:p>
                  <w:pPr>
                    <w:pStyle w:val="null3"/>
                    <w:ind w:firstLine="480"/>
                    <w:jc w:val="both"/>
                  </w:pPr>
                  <w:r>
                    <w:rPr>
                      <w:rFonts w:ascii="仿宋_GB2312" w:hAnsi="仿宋_GB2312" w:cs="仿宋_GB2312" w:eastAsia="仿宋_GB2312"/>
                      <w:sz w:val="24"/>
                    </w:rPr>
                    <w:t>30、支持试验过程流程及进度的控制，并能够控制训练过程按照编排的顺序有序的运行；</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31、支持配置写入类事务配置，可指定写入内容到指定虚拟机的指定位置，支持追加和覆盖两种方式；支持配置单次读取和循环读取事务，读取指定虚拟机的指定位置文件内容；(演示内容3)</w:t>
                  </w:r>
                </w:p>
                <w:p>
                  <w:pPr>
                    <w:pStyle w:val="null3"/>
                    <w:ind w:firstLine="480"/>
                    <w:jc w:val="both"/>
                  </w:pPr>
                  <w:r>
                    <w:rPr>
                      <w:rFonts w:ascii="仿宋_GB2312" w:hAnsi="仿宋_GB2312" w:cs="仿宋_GB2312" w:eastAsia="仿宋_GB2312"/>
                      <w:sz w:val="24"/>
                    </w:rPr>
                    <w:t>32、支持大规模拓扑的设计，支持的子网络数量≥ 100个,支持多层子网络嵌套（即多级子网络），嵌套层级≥3层；单一拓扑支持≥1000节点配置能力，平台软件支持≥ 10000节点的配置能力；</w:t>
                  </w:r>
                </w:p>
                <w:p>
                  <w:pPr>
                    <w:pStyle w:val="null3"/>
                    <w:ind w:firstLine="240"/>
                    <w:jc w:val="both"/>
                  </w:pPr>
                  <w:r>
                    <w:rPr>
                      <w:rFonts w:ascii="仿宋_GB2312" w:hAnsi="仿宋_GB2312" w:cs="仿宋_GB2312" w:eastAsia="仿宋_GB2312"/>
                      <w:sz w:val="24"/>
                    </w:rPr>
                    <w:t>▲33、至少提供仿真场景≥4个，包括不限于高铁CTC行车指挥系统仿真场景、高铁车站系统攻防仿真场景、电力行业业务环境模拟仿真场景、通信行业业务环境的模拟仿真场景；业务拓扑图高度仿真，仿真环境稳定可靠，支持多种复杂网络场景的模拟，满足不同科研需求；</w:t>
                  </w:r>
                </w:p>
                <w:p>
                  <w:pPr>
                    <w:pStyle w:val="null3"/>
                    <w:ind w:firstLine="240"/>
                    <w:jc w:val="both"/>
                  </w:pPr>
                  <w:r>
                    <w:rPr>
                      <w:rFonts w:ascii="仿宋_GB2312" w:hAnsi="仿宋_GB2312" w:cs="仿宋_GB2312" w:eastAsia="仿宋_GB2312"/>
                      <w:sz w:val="24"/>
                    </w:rPr>
                    <w:t>★34、能够针对高铁CTC仿真场景进行二次开发，能与入侵与模拟攻击平台、漏洞扫描与管理平台等系统集成；（提供承诺函）</w:t>
                  </w:r>
                </w:p>
                <w:p>
                  <w:pPr>
                    <w:pStyle w:val="null3"/>
                    <w:ind w:firstLine="240"/>
                    <w:jc w:val="both"/>
                  </w:pPr>
                  <w:r>
                    <w:rPr>
                      <w:rFonts w:ascii="仿宋_GB2312" w:hAnsi="仿宋_GB2312" w:cs="仿宋_GB2312" w:eastAsia="仿宋_GB2312"/>
                      <w:sz w:val="24"/>
                    </w:rPr>
                    <w:t>▲35、提供三站两区间的拓扑、设备参数、通信协议等数据及接口文件，梳理CTC业务并为CTC行车指挥系统开发提供技术支持；</w:t>
                  </w:r>
                </w:p>
                <w:p>
                  <w:pPr>
                    <w:pStyle w:val="null3"/>
                    <w:ind w:firstLine="240"/>
                    <w:jc w:val="both"/>
                  </w:pPr>
                  <w:r>
                    <w:rPr>
                      <w:rFonts w:ascii="仿宋_GB2312" w:hAnsi="仿宋_GB2312" w:cs="仿宋_GB2312" w:eastAsia="仿宋_GB2312"/>
                      <w:sz w:val="24"/>
                    </w:rPr>
                    <w:t>★36、提供底层虚拟化支持，协助构建服务器和客户端的通信程序，搭建接近真实场景的虚拟仿真环境；（提供承诺函）</w:t>
                  </w:r>
                </w:p>
                <w:p>
                  <w:pPr>
                    <w:pStyle w:val="null3"/>
                    <w:ind w:firstLine="480"/>
                    <w:jc w:val="both"/>
                  </w:pPr>
                  <w:r>
                    <w:rPr>
                      <w:rFonts w:ascii="仿宋_GB2312" w:hAnsi="仿宋_GB2312" w:cs="仿宋_GB2312" w:eastAsia="仿宋_GB2312"/>
                      <w:sz w:val="24"/>
                    </w:rPr>
                    <w:t>37、数据可对真实数据进行隐私保护、模糊化处理，添加误差和噪声等处理；</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38、支持基于模版和自定义创建课程，包括课程基本信息、课程大纲、课程资源和课程班花名册；支持学员自主编辑实验拓扑、部署环境和更改系统配置；(演示内容4)</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39、支持用户对视频进行锚定，能够截取当前播放画面系统自动截取视频的当前播放画面，支持用户添加文字说明。(演示内容5)</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交货时间：合同签署后30个日历日完成供货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合同签订后30日内，中标人送货至指定地点，到货交付安装完成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系统集成联调完成且二次开发需求规格确定后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招标文件、投标文件及技术澄清文件（函）；国家/行业标准、规范（如GB、ISO、IEC等）。 （2）验收流程 ①到货初检（采购人、中标人共同参与）：检查外包装完整性、防伪标识、运输损伤情况；核对货物型号、数量、规格是否与合同一致；检查随机文件（合格证、说明书、保修卡等）。 ②安装调试验收 设备安装符合；调试记录完整。 ③性能测试验收（关键指标实测） 连续运行72小时无故障。 ④最终验收 集成联调结束后，进行最终验收，签署《验收报告》，产品保修期自验收合格之日起算，由中标人提供产品保修文件。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 （5）涉及的商品包装和快递包装，均应符合《商品包装政府采购需求标准（试行）》《快递包装政府采购需求标准（试行）》的要求，包装应适应于远距离运输、防潮、防震、防锈和防野蛮装卸，以确保货物安全无损运抵指定地点。 （6）合同签署后30天内完成交付。</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产品保修期（三包期）：自验收合格之日起3年，在产品保修期内提供软件免费升级服务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（4）质保服务：保修期内由中标人免费质保，采购人报修后30分钟内运维人员远程故障响应，24小时内提供解决方案，48小时内提供现场维修/升级服务，否则将依据有关法律、法规进行追偿； （5）瑕疵责任：中标人提供产品应无任何瑕疵，符合国际、国内相关标准。如在使用过程中本产品存在隐蔽瑕疵造成甲方实训教学无法开展、设备损坏、数据泄露等损失的，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中标人未按合同约定的交货日期交货的，每逾期1日，向采购人支付逾期交付货物价款的1%的违约金，但不超过合同总金额的10%。中标人支付逾期交货违约金并不免除其交货的责任。 如中标人在政府采购合同规定的交货日期后10日仍未能交货，则视为中标人不能交货，采购人有权解除政府采购合同，中标人除退还已收取的货款外，还应向采购人偿付政府采购合同总金额10%的违约金。 中标人所交付货物及伴随的工程或服务不符合其投标承诺，存在偷工减料、以次充好情形的，采购人要求更换一次后仍不符合约定的，采购人有权解除政府采购合同，并将有关情况上报政府采购监管部门处理。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一、付款方式（因系统编制受限，招标文件中关于付款方式的描述有不一致的地方以此处为准） 付款方式：银行转账（人民币）。 付款条件：合同签订后30日内，中标人送货至指定地点，到货交付安装完成10日内，付款50%；系统集成联调完成且二次开发需求规格确定后三个月内付款50%； 二、验收条款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 三、安装调试、质量保证、售后服务等要求 （1）安装调试要求 免费提供安装调试过程中所需的全部配件、辅料。 调试周期：连续72小时无故障运行测试； 人员培训：提供相关操作人员培训资料。 （2）配套工程 基础施工：包含安装设备所需各种工具。 （3）质量保证 按照国家新三包规定办理。 （4）售后服务 响应时限：在30分钟内运维人员远程故障响应，24小内提供解决方案，48小时内提供相关的维修、升级等解决问题的服务。 四、产品保修期内，质量、质保、其他服务要求 其他说明：运输供应、安装调试（含电源配线、支架、铜管等辅料）、墙体打洞、落水管、层高作业、检测验收、清洗保养等服务包含在总价中。投标人提供工程师安装、配置和使用等实操培训，交通等与培训相关的费用均由投标人承担。在项目验收后，在服务期内，投标人需提供不少于每年2次的设备巡检服务。 五、根据《国务院办公厅关于在政府采购中实施本国产品标准及相关政策的通知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开标一览表 投标方案 技术响应偏离表 分项报价表 中小企业声明函 企业关联关系声明函 投标函 其他材料 投标人资格 残疾人福利性单位声明函 投标人业绩 标的清单 投标文件封面 投标人基本信息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所投产品技术参数清楚、明确并能逐条响应招标文件第三章“技术参数表”中所有参数（核心产品演示除外）要求，得30分。其中： （1）带有“★”项（2项）为实质性条款,投标人必须全部满足，提供佐证材料，并按技术参数要求提供承诺函，否则投标无效。 （2）带有“▲”项（4项）满分12分，每项负偏离扣3分，扣完为止。投标人必须提供佐证材料，且证明充分，否则则视为负偏离。 （3）未标项（28项）满分18分，每项负偏离扣0.65分，扣完为止。 （4）演示项（5项），不在此项计分，请参考演示分规则进行扣减。 备注：佐证材料可以是国家认可的第三方检测机构出具的检测报告、产品截图、功能截图、技术说明书、产品介绍、开发案例等。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演示分</w:t>
            </w:r>
          </w:p>
        </w:tc>
        <w:tc>
          <w:tcPr>
            <w:tcW w:type="dxa" w:w="2492"/>
          </w:tcPr>
          <w:p>
            <w:pPr>
              <w:pStyle w:val="null3"/>
            </w:pPr>
            <w:r>
              <w:rPr>
                <w:rFonts w:ascii="仿宋_GB2312" w:hAnsi="仿宋_GB2312" w:cs="仿宋_GB2312" w:eastAsia="仿宋_GB2312"/>
              </w:rPr>
              <w:t>一、评审内容 投标人需针对“货物技术参数”中的“■”演示内容项进行视频演示。所有演示均要求为可运行的软件系统的演示视频，且所有视频提供语音讲解。演示时间不超过10分钟。 二、评审标准 1、准确性：准确描述评审内容相关参数的技术实现； 2、完整性：所有评审内容均提供相关内容。 三、赋分依据（满分10分） 1. 所有的演示视频应基于相关网络靶场系统进行操作，如果以PPT、图片等形式演示的或全部没有演示或演示内容与本项目无关的均不得分。 2. 每有一项缺项扣2分，每项内容演示完全满足采购人需求得2分； 3. 每项内容演示基本满足采购人需求，但仍有不足，得1分； 4. 每项内容演示无法满足采购需求或者未提供演示的，得0分。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三、赋分依据（满分4分） ①供货组织及进度安排：每完全满足一个评审标准得0.5分，满分1分； ②对接及运输方案:每完全满足一个评审标准得0.5分，满分1分； ③安装调试方案:每完全满足一个评审标准得0.5分，满分1分； ④人员、物力调配安排：每完全满足一个评审标准得0.5分，满分1分。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根据项目实际需求，提供质量保证方案。内容包含：①产品性能②使用效果③交货及安装时间。 二、评审标准 1.完整性：方案必须全面，对评审内容中的各项要求有详细描述； 2.可实施性：切合本项目实际情况，提出步骤清晰、合理的方案。 三、赋分依据（满分1.5分） ①产品性能：满分0.5分； ②使用效果:满分0.5分； ③交货及安装时间:满分0.5分。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提供项目负责人具有信息系统项目管理师证书（工信或人社部门颁发）扫描件及投标人为其缴纳的近半年以来任意一个月的社保证明，每完全满足一个评审标准得1分，满分1分，证明材料缺项或未提供的不得分。 2.提供项目团队成员（项目负责人除外）具有网络规划设计师(高级)证书或者软件测评师证书（工信或人社部门颁发）扫描件及投标人为其缴纳的近半年以来任意一个月的社保证明，同类证书不重复得分；一人多证按一证计算，不重复得分。每完全满足一个评审标准得1分，满分2分，证明材料缺项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提供投标人2023年1月1日以来同类产品业绩（以合同签订日期为准），每份合格业绩合同计2分，满分10分。 赋分依据：需提供完整业绩合同复印件及对应货款发票（任意一张）复印件，并加盖投标人公章。前述两种证明材料同时提供方可得分，否则不得分。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三、赋分依据（满分4分） ①售后服务范围：每完全满足一个评审标准得0.5分，满分1分； ②响应时间及方式:每完全满足一个评审标准得0.5分，满分1分； ③故障处理及补救措施:每完全满足一个评审标准得0.5分，满分1分； ④定期回访及维护:每完全满足一个评审标准得0.5分，满分1分。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针对本项目的特点和需求等内容提供增值服务承诺（包括课程服务、课程资源、演练服务、微专业指导等增值服务），满足以下全部要求得6.5分，否则得0分。 1、课程服务承诺 承诺提供配套的教学服务支撑，技术培训服务内容不限于SQL注入、文件写入、代码执行、文件上传、XSS逻辑漏洞、任意文件下载、任意文件读取、目录遍历、命令执行、文件包含、CSRF、反序列化、CTF竞赛、攻防对抗等维度。 2、课程资源承诺 承诺提供的课程资源覆盖计算机系统安全（含软件/网络/WEB安全、Linux漏洞验证，≥8课时+工具资源）、机器学习与安全应用（≥2课时网络流量分析溯源）、无线和物联网安全（≥8课时+4个实验）、人工智能安全（≥16课时）、渗透测试技术（≥16课时）、网络攻击和防御（≥16课时）、代码审计（≥32课时）、窃密和反窃密（≥8课时）全部类型，且各课程课时达标。 3、演练服务承诺 3.1.承诺提供基于高级威胁知识的钓鱼邮件演练系统服务1次； 3.2.演练服务内容基于高级威胁知识，深入分析APT钓鱼攻击事件攻击模式、攻击手法和技术策略，还原APT攻击过程，需模拟APT钓鱼邮件主题、内容特征、诱导性语言、伪造发件人和邮箱资源；通过研究APT样本免杀技术，研究样本的无害化处理技术，使用真实的APT攻击样本，增加演练的挑战性和有效性。 4、微专业指导 承诺3年内每学期提供网络渗透测试技术微专业实践课程指导+行业岗位能力辅导。</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承诺质保期在满足招标文件（3年）要求的基础上，每增加一年得0.5分，满1分。无承诺不得分。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有效投标人的最低报价（落实政府采购政策进行价格调整的，以调整后的价格计算）为基准价得30分，其他各投标人的报价得分按下列公式计算：（基准价/投标报价）×30％×100。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